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rPr>
        <w:t>广东省科技创新监测研究中心2022年度</w:t>
      </w:r>
    </w:p>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rPr>
        <w:t>政务信息化项目监理服务项目</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1.省科技业务管理阳光政务平台升级改造暨省实验室管理信息化服务（2022年）项目第三方监理服务。</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2.省科技厅科技政务数据应用服务（2022年）项目第三方监理服务。</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对省科技业务管理阳光政务平台升级改造暨省实验室管理信息化服务（2022年）项目、省科技厅科技政务数据应用服务（2022年）项目2个省科技厅2022年度信息化项目开展监理服务。整体要求如下：</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坚持以“质量第一、预防为主、一切用数据说话，科学、公正、守法”作为监理原则，以“四控制：质量控制、进度控制、投资控制、变更控制；三管理：合同管理、信息管理、安全管理；一协调：组织协调”作为指导思想，协助采购人统筹管理、协调相关工程任务。</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依据招标文件、投标文件、服务协议书，对服务在实施、交付、运行、验收阶段的服务质量进行审查、监督、及时向采购人及其指定的用户部门反映服务动态和监理工作情况；定期公布服务实施过程中的质量、进度、成本等有关数据指标，就项目中存在或出现的问题向采购人及其指定的用户部门提出第三方独立、公正、公平的意见建议或解决方案。</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监督各方履行职责，协调各方的工作关系，建立畅通的沟通平台和沟通渠道，采取有效措施使项目信息在有关各方之间保持顺畅流通，积极协调项目各方之间的关系，推动相关问题的解决；检查督促服务提供商建立、完善安全生产制度，组织工程安全事故的调查与处理，确立财政投资信息化项目安全监督的工作目标。</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2022年6月15日至2023年6月30日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w:t>
      </w:r>
      <w:bookmarkStart w:id="0" w:name="_GoBack"/>
      <w:bookmarkEnd w:id="0"/>
      <w:r>
        <w:rPr>
          <w:rFonts w:hint="eastAsia" w:ascii="仿宋" w:hAnsi="仿宋" w:eastAsia="仿宋"/>
          <w:color w:val="auto"/>
          <w:sz w:val="28"/>
          <w:szCs w:val="28"/>
        </w:rPr>
        <w:t>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1A055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2022-06-06T03:36:42Z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BF03FA2A9955408B9B3ECDFA4F9F49B4</vt:lpwstr>
  </property>
</Properties>
</file>