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ascii="黑体" w:hAnsi="黑体" w:eastAsia="黑体"/>
          <w:b/>
          <w:kern w:val="0"/>
          <w:sz w:val="32"/>
          <w:szCs w:val="32"/>
        </w:rPr>
        <w:t>省科技监测中心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2023年度自主立项科研项目管理服务</w:t>
      </w:r>
    </w:p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　项目采购需求书</w:t>
      </w:r>
    </w:p>
    <w:p>
      <w:pPr>
        <w:numPr>
          <w:ilvl w:val="0"/>
          <w:numId w:val="1"/>
        </w:num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</w:t>
      </w:r>
      <w:r>
        <w:rPr>
          <w:rFonts w:ascii="仿宋" w:hAnsi="仿宋" w:eastAsia="仿宋"/>
          <w:b/>
          <w:bCs/>
          <w:sz w:val="28"/>
          <w:szCs w:val="28"/>
        </w:rPr>
        <w:t>项目内容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适应广东省科技创新监测研究中心自主立项科研项目管理要求，完成2023年度省科技监测中心自主立项科研项目管理服务工作，协助省科技监测中心科学、规范地自主立项科研管理项目，辅助提升单位科研管理服务能力。</w:t>
      </w:r>
    </w:p>
    <w:p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采购项目需求（包括种类、数量、质量）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1.提供自主立项科研项目管理系统服务，对中心自主立项科研项目进行一网全程管理，完成项目申报到评审管理、立项审批、合同签订、过程管理以及验收结题的全过程管理；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安排项目管理专员，辅助甲方完成2023年度自主立项科研项目过程管理服务，包括组织开展项目申报、评审、立项审批、合同签订、中期考核、结题验收等服务，各项服务主要工作材料编制、评估指标体系研究设计、过程跟踪管理、情况分析报送等。</w:t>
      </w:r>
    </w:p>
    <w:p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技术服务合同签订之日起至2023年12月31日。</w:t>
      </w:r>
    </w:p>
    <w:p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采购项目验收要求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供应商按时保质完成采购服务内容，提供中心2023年度自主立项科研项目管理服务汇编文档及相关成果材料。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五、供应商要求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2.具有独立承担民事责任能力的在中华人民共和国境内注册的法人。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3.本项目不接受联合体投标。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AB7241"/>
    <w:multiLevelType w:val="singleLevel"/>
    <w:tmpl w:val="9DAB72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E3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2023-03-23T10:59:01Z</dcterms:created>
  <dc:creator>Administrator</dc:creator>
  <cp:lastModifiedBy>Administrator</cp:lastModifiedBy>
  <dcterms:modified xsi:type="dcterms:W3CDTF">2023-03-23T10:59:07Z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