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0" w:lineRule="atLeast"/>
        <w:ind w:left="-141" w:leftChars="-67" w:firstLine="167" w:firstLineChars="38"/>
        <w:jc w:val="center"/>
        <w:outlineLvl w:val="0"/>
        <w:rPr>
          <w:rFonts w:hint="eastAsia" w:ascii="华文中宋" w:hAnsi="华文中宋" w:eastAsia="华文中宋" w:cs="方正小标宋简体"/>
          <w:b/>
          <w:bCs/>
          <w:color w:val="auto"/>
          <w:kern w:val="0"/>
          <w:sz w:val="44"/>
          <w:szCs w:val="44"/>
          <w:lang w:val="en-US" w:eastAsia="zh-CN"/>
        </w:rPr>
      </w:pPr>
      <w:r>
        <w:rPr>
          <w:rFonts w:hint="eastAsia" w:ascii="华文中宋" w:hAnsi="华文中宋" w:eastAsia="华文中宋" w:cs="方正小标宋简体"/>
          <w:b/>
          <w:bCs/>
          <w:color w:val="auto"/>
          <w:kern w:val="0"/>
          <w:sz w:val="44"/>
          <w:szCs w:val="44"/>
        </w:rPr>
        <w:t>项目采购需求</w:t>
      </w:r>
      <w:r>
        <w:rPr>
          <w:rFonts w:hint="eastAsia" w:ascii="华文中宋" w:hAnsi="华文中宋" w:eastAsia="华文中宋" w:cs="方正小标宋简体"/>
          <w:b/>
          <w:bCs/>
          <w:color w:val="auto"/>
          <w:kern w:val="0"/>
          <w:sz w:val="44"/>
          <w:szCs w:val="44"/>
          <w:lang w:val="en-US" w:eastAsia="zh-CN"/>
        </w:rPr>
        <w:t>书</w:t>
      </w:r>
    </w:p>
    <w:p>
      <w:pPr>
        <w:widowControl/>
        <w:jc w:val="left"/>
        <w:rPr>
          <w:rFonts w:hint="eastAsia" w:ascii="黑体" w:hAnsi="宋体" w:eastAsia="黑体" w:cs="宋体"/>
          <w:color w:val="auto"/>
          <w:kern w:val="0"/>
          <w:sz w:val="28"/>
          <w:szCs w:val="32"/>
        </w:rPr>
      </w:pPr>
    </w:p>
    <w:p>
      <w:pPr>
        <w:pStyle w:val="2"/>
        <w:ind w:left="0" w:firstLine="0"/>
        <w:rPr>
          <w:color w:val="auto"/>
        </w:rPr>
      </w:pPr>
      <w:r>
        <w:rPr>
          <w:color w:val="auto"/>
        </w:rPr>
        <w:t>项目概况</w:t>
      </w:r>
    </w:p>
    <w:p>
      <w:pPr>
        <w:pStyle w:val="3"/>
        <w:widowControl/>
        <w:ind w:left="0" w:firstLine="0"/>
        <w:jc w:val="left"/>
        <w:rPr>
          <w:color w:val="auto"/>
        </w:rPr>
      </w:pPr>
      <w:r>
        <w:rPr>
          <w:color w:val="auto"/>
        </w:rPr>
        <w:t>基本信息</w:t>
      </w:r>
    </w:p>
    <w:p>
      <w:pPr>
        <w:pStyle w:val="5"/>
        <w:widowControl/>
        <w:ind w:left="0" w:firstLine="0"/>
        <w:jc w:val="left"/>
        <w:rPr>
          <w:color w:val="auto"/>
        </w:rPr>
      </w:pPr>
      <w:r>
        <w:rPr>
          <w:color w:val="auto"/>
        </w:rPr>
        <w:t>项目名称</w:t>
      </w:r>
    </w:p>
    <w:p>
      <w:pPr>
        <w:pStyle w:val="4"/>
        <w:widowControl/>
        <w:ind w:firstLine="560"/>
        <w:jc w:val="left"/>
        <w:rPr>
          <w:rFonts w:hint="eastAsia"/>
          <w:color w:val="auto"/>
          <w:kern w:val="0"/>
        </w:rPr>
      </w:pPr>
      <w:r>
        <w:rPr>
          <w:rFonts w:hint="eastAsia"/>
          <w:color w:val="auto"/>
          <w:kern w:val="0"/>
        </w:rPr>
        <w:t>省科技厅政务信息化安全服务（2024年）项目</w:t>
      </w:r>
      <w:r>
        <w:rPr>
          <w:rFonts w:hint="eastAsia"/>
          <w:color w:val="auto"/>
          <w:kern w:val="0"/>
          <w:lang w:val="en-US" w:eastAsia="zh-CN"/>
        </w:rPr>
        <w:t>（数据安全运营服务）</w:t>
      </w:r>
      <w:r>
        <w:rPr>
          <w:rFonts w:hint="eastAsia"/>
          <w:color w:val="auto"/>
          <w:kern w:val="0"/>
        </w:rPr>
        <w:t>。</w:t>
      </w:r>
    </w:p>
    <w:p>
      <w:pPr>
        <w:pStyle w:val="5"/>
        <w:widowControl/>
        <w:ind w:left="0" w:firstLine="0"/>
        <w:jc w:val="left"/>
        <w:rPr>
          <w:color w:val="auto"/>
        </w:rPr>
      </w:pPr>
      <w:r>
        <w:rPr>
          <w:color w:val="auto"/>
        </w:rPr>
        <w:t>采购人</w:t>
      </w:r>
      <w:r>
        <w:rPr>
          <w:rFonts w:hint="eastAsia"/>
          <w:color w:val="auto"/>
          <w:lang w:val="en-US" w:eastAsia="zh-CN"/>
        </w:rPr>
        <w:t>及用户单位</w:t>
      </w:r>
    </w:p>
    <w:p>
      <w:pPr>
        <w:pStyle w:val="6"/>
        <w:jc w:val="left"/>
        <w:rPr>
          <w:rFonts w:hint="eastAsia" w:eastAsia="仿宋_GB2312"/>
          <w:color w:val="auto"/>
          <w:lang w:val="en-US" w:eastAsia="zh-CN"/>
        </w:rPr>
      </w:pPr>
      <w:r>
        <w:rPr>
          <w:rFonts w:hint="eastAsia" w:ascii="Times New Roman" w:hAnsi="Times New Roman" w:eastAsia="仿宋_GB2312"/>
          <w:color w:val="auto"/>
        </w:rPr>
        <w:t>广东省科技创新监测研究中心</w:t>
      </w:r>
    </w:p>
    <w:p>
      <w:pPr>
        <w:pStyle w:val="5"/>
        <w:widowControl/>
        <w:ind w:left="0" w:firstLine="0"/>
        <w:jc w:val="left"/>
        <w:rPr>
          <w:color w:val="auto"/>
        </w:rPr>
      </w:pPr>
      <w:r>
        <w:rPr>
          <w:color w:val="auto"/>
        </w:rPr>
        <w:t>项目总体目标</w:t>
      </w:r>
    </w:p>
    <w:p>
      <w:pPr>
        <w:pStyle w:val="4"/>
        <w:widowControl/>
        <w:ind w:firstLine="560"/>
        <w:jc w:val="left"/>
        <w:rPr>
          <w:color w:val="auto"/>
          <w:kern w:val="0"/>
        </w:rPr>
      </w:pPr>
      <w:r>
        <w:rPr>
          <w:rFonts w:hint="eastAsia"/>
          <w:color w:val="auto"/>
          <w:kern w:val="0"/>
        </w:rPr>
        <w:t>在广东省数字政府改革建设的统一部署下，对省科技厅各业务处室进行深入调研，梳理盘点各类数据资产，建立数据安全标准规范，制定数据在各生命周期的安全保障措施，形成相关可持续运行的管理制度，并对数据进行分类分级，完善和巩固我省科技领域数据安全体系，推进科技领域数据在政府治理、公共服务、经济发展等方面的融合应用，助力提升业务工作效能。</w:t>
      </w:r>
    </w:p>
    <w:p>
      <w:pPr>
        <w:pStyle w:val="5"/>
        <w:widowControl/>
        <w:ind w:left="0" w:firstLine="0"/>
        <w:jc w:val="left"/>
        <w:rPr>
          <w:color w:val="auto"/>
        </w:rPr>
      </w:pPr>
      <w:r>
        <w:rPr>
          <w:color w:val="auto"/>
        </w:rPr>
        <w:t>服务地点</w:t>
      </w:r>
    </w:p>
    <w:p>
      <w:pPr>
        <w:pStyle w:val="6"/>
        <w:jc w:val="left"/>
        <w:rPr>
          <w:rFonts w:eastAsia="等线"/>
          <w:color w:val="auto"/>
        </w:rPr>
      </w:pPr>
      <w:r>
        <w:rPr>
          <w:rFonts w:hint="eastAsia" w:ascii="Times New Roman" w:hAnsi="Times New Roman" w:eastAsia="仿宋_GB2312"/>
          <w:color w:val="auto"/>
        </w:rPr>
        <w:t>广东省科技创新监测研究中心</w:t>
      </w:r>
      <w:r>
        <w:rPr>
          <w:rFonts w:hint="eastAsia" w:ascii="Times New Roman" w:hAnsi="Times New Roman" w:eastAsia="仿宋_GB2312"/>
          <w:color w:val="auto"/>
          <w:lang w:val="en-US" w:eastAsia="zh-CN"/>
        </w:rPr>
        <w:t>指定地点</w:t>
      </w:r>
      <w:r>
        <w:rPr>
          <w:rFonts w:hint="eastAsia" w:ascii="Times New Roman" w:hAnsi="Times New Roman" w:eastAsia="仿宋_GB2312"/>
          <w:color w:val="auto"/>
        </w:rPr>
        <w:t>。</w:t>
      </w:r>
    </w:p>
    <w:p>
      <w:pPr>
        <w:pStyle w:val="3"/>
        <w:widowControl/>
        <w:ind w:left="0" w:firstLine="0"/>
        <w:jc w:val="left"/>
        <w:rPr>
          <w:color w:val="auto"/>
        </w:rPr>
      </w:pPr>
      <w:r>
        <w:rPr>
          <w:color w:val="auto"/>
        </w:rPr>
        <w:t>项目背景</w:t>
      </w:r>
    </w:p>
    <w:p>
      <w:pPr>
        <w:pStyle w:val="4"/>
        <w:widowControl/>
        <w:ind w:firstLine="560"/>
        <w:jc w:val="left"/>
        <w:rPr>
          <w:color w:val="auto"/>
          <w:kern w:val="0"/>
        </w:rPr>
      </w:pPr>
      <w:r>
        <w:rPr>
          <w:rFonts w:hint="eastAsia"/>
          <w:color w:val="auto"/>
          <w:kern w:val="0"/>
          <w:lang w:val="en-US" w:eastAsia="zh-CN"/>
        </w:rPr>
        <w:t>目前，省科技厅正开展科技政务数据资产梳理工作，探索实践数据资产分类分级管理，初步启动数据安全风险评估，但在执行过程中，存在以下问题：一是执行过程缺乏系统化和全面性，政务数据资产的流转过程及其相关权益界定未能形成完整清晰的管理体系。二是分类分级的规则亟需健全，无法实施具有高度针对性的分类分级保护措施，难以充分识别和应对机构所面临的复杂多变的数据安全与合规风险的挑战。随着《数据安全法》的实施，亟需开展数据安全风险评估，制定配套的数据安全管理制度和数据分类分级规定，这就要求省科技厅需要强化顶层设计和整体防护，避免多头分散、各自为政的情况发生，因此，做好数据分类分级是落实数据安全责任，探索数据要素基础制度建设的必要性环节，既是落实我省数据要素市场化配置改革行动方案的基础性工作之一，也是推进公共数据和社会数据深度融合应用的必要手段</w:t>
      </w:r>
      <w:r>
        <w:rPr>
          <w:rFonts w:hint="eastAsia"/>
          <w:color w:val="auto"/>
          <w:kern w:val="0"/>
        </w:rPr>
        <w:t>。</w:t>
      </w:r>
    </w:p>
    <w:p>
      <w:pPr>
        <w:pStyle w:val="2"/>
        <w:ind w:left="0" w:firstLine="0"/>
        <w:rPr>
          <w:color w:val="auto"/>
        </w:rPr>
      </w:pPr>
      <w:r>
        <w:rPr>
          <w:color w:val="auto"/>
        </w:rPr>
        <w:t>项目预算</w:t>
      </w:r>
    </w:p>
    <w:p>
      <w:pPr>
        <w:pStyle w:val="4"/>
        <w:widowControl/>
        <w:ind w:firstLine="560"/>
        <w:jc w:val="left"/>
        <w:rPr>
          <w:rFonts w:hint="eastAsia"/>
          <w:color w:val="auto"/>
          <w:kern w:val="0"/>
        </w:rPr>
      </w:pPr>
      <w:r>
        <w:rPr>
          <w:color w:val="auto"/>
          <w:kern w:val="0"/>
        </w:rPr>
        <w:t>本项目总预算为</w:t>
      </w:r>
      <w:r>
        <w:rPr>
          <w:rFonts w:hint="eastAsia"/>
          <w:color w:val="auto"/>
          <w:kern w:val="0"/>
          <w:u w:val="single"/>
          <w:lang w:val="en-US" w:eastAsia="zh-CN"/>
        </w:rPr>
        <w:t>73.64</w:t>
      </w:r>
      <w:r>
        <w:rPr>
          <w:color w:val="auto"/>
          <w:kern w:val="0"/>
        </w:rPr>
        <w:t>万元</w:t>
      </w:r>
      <w:r>
        <w:rPr>
          <w:rFonts w:hint="eastAsia"/>
          <w:color w:val="auto"/>
          <w:kern w:val="0"/>
        </w:rPr>
        <w:t>。</w:t>
      </w:r>
    </w:p>
    <w:p>
      <w:pPr>
        <w:pStyle w:val="2"/>
        <w:ind w:left="0" w:firstLine="0"/>
        <w:rPr>
          <w:color w:val="auto"/>
        </w:rPr>
      </w:pPr>
      <w:r>
        <w:rPr>
          <w:color w:val="auto"/>
        </w:rPr>
        <w:t>服务期限</w:t>
      </w:r>
    </w:p>
    <w:p>
      <w:pPr>
        <w:pStyle w:val="4"/>
        <w:widowControl/>
        <w:ind w:firstLine="560"/>
        <w:jc w:val="left"/>
        <w:rPr>
          <w:color w:val="auto"/>
          <w:kern w:val="0"/>
        </w:rPr>
      </w:pPr>
      <w:r>
        <w:rPr>
          <w:color w:val="auto"/>
          <w:kern w:val="0"/>
        </w:rPr>
        <w:t>以合同签订之日为服务起始时间，服务期为</w:t>
      </w:r>
      <w:r>
        <w:rPr>
          <w:color w:val="auto"/>
          <w:kern w:val="0"/>
          <w:u w:val="single"/>
        </w:rPr>
        <w:t xml:space="preserve"> </w:t>
      </w:r>
      <w:r>
        <w:rPr>
          <w:rFonts w:hint="eastAsia"/>
          <w:color w:val="auto"/>
          <w:kern w:val="0"/>
          <w:u w:val="single"/>
          <w:lang w:val="en-US" w:eastAsia="zh-CN"/>
        </w:rPr>
        <w:t>12</w:t>
      </w:r>
      <w:r>
        <w:rPr>
          <w:color w:val="auto"/>
          <w:kern w:val="0"/>
        </w:rPr>
        <w:t>个月</w:t>
      </w:r>
      <w:r>
        <w:rPr>
          <w:rFonts w:hint="eastAsia"/>
          <w:color w:val="auto"/>
          <w:kern w:val="0"/>
          <w:lang w:eastAsia="zh-CN"/>
        </w:rPr>
        <w:t>，</w:t>
      </w:r>
      <w:r>
        <w:rPr>
          <w:rFonts w:hint="eastAsia"/>
          <w:color w:val="auto"/>
          <w:kern w:val="0"/>
          <w:lang w:val="en-US" w:eastAsia="zh-CN"/>
        </w:rPr>
        <w:t>具体以合同为准</w:t>
      </w:r>
      <w:r>
        <w:rPr>
          <w:color w:val="auto"/>
          <w:kern w:val="0"/>
        </w:rPr>
        <w:t>。</w:t>
      </w:r>
    </w:p>
    <w:p>
      <w:pPr>
        <w:pStyle w:val="2"/>
        <w:ind w:left="0" w:firstLine="0"/>
        <w:rPr>
          <w:color w:val="auto"/>
        </w:rPr>
      </w:pPr>
      <w:r>
        <w:rPr>
          <w:color w:val="auto"/>
        </w:rPr>
        <w:t>服务内容</w:t>
      </w:r>
    </w:p>
    <w:p>
      <w:pPr>
        <w:pStyle w:val="3"/>
        <w:widowControl/>
        <w:ind w:left="0" w:firstLine="0"/>
        <w:jc w:val="left"/>
        <w:rPr>
          <w:rFonts w:hint="eastAsia"/>
          <w:color w:val="auto"/>
        </w:rPr>
      </w:pPr>
      <w:r>
        <w:rPr>
          <w:rFonts w:hint="eastAsia"/>
          <w:color w:val="auto"/>
          <w:lang w:val="en-US" w:eastAsia="zh-CN"/>
        </w:rPr>
        <w:t>系统业务运营服务</w:t>
      </w:r>
    </w:p>
    <w:p>
      <w:pPr>
        <w:pStyle w:val="5"/>
        <w:widowControl/>
        <w:ind w:left="0" w:firstLine="0"/>
        <w:jc w:val="left"/>
        <w:rPr>
          <w:color w:val="auto"/>
        </w:rPr>
      </w:pPr>
      <w:r>
        <w:rPr>
          <w:rFonts w:hint="eastAsia"/>
          <w:color w:val="auto"/>
          <w:lang w:val="en-US" w:eastAsia="zh-CN"/>
        </w:rPr>
        <w:t>数据安全</w:t>
      </w:r>
      <w:r>
        <w:rPr>
          <w:rFonts w:hint="eastAsia"/>
          <w:color w:val="auto"/>
        </w:rPr>
        <w:t>管控审计服务</w:t>
      </w:r>
    </w:p>
    <w:p>
      <w:pPr>
        <w:pStyle w:val="7"/>
        <w:widowControl/>
        <w:ind w:left="0" w:firstLine="0"/>
        <w:jc w:val="left"/>
        <w:rPr>
          <w:color w:val="auto"/>
          <w:kern w:val="0"/>
        </w:rPr>
      </w:pPr>
      <w:r>
        <w:rPr>
          <w:rFonts w:hint="eastAsia"/>
          <w:color w:val="auto"/>
          <w:kern w:val="0"/>
        </w:rPr>
        <w:t>数据安全风险评估服务</w:t>
      </w:r>
    </w:p>
    <w:p>
      <w:pPr>
        <w:pStyle w:val="4"/>
        <w:widowControl/>
        <w:ind w:firstLine="560"/>
        <w:jc w:val="left"/>
        <w:rPr>
          <w:rFonts w:hint="eastAsia"/>
          <w:color w:val="auto"/>
          <w:kern w:val="0"/>
          <w:lang w:eastAsia="zh-CN"/>
        </w:rPr>
      </w:pPr>
      <w:r>
        <w:rPr>
          <w:rFonts w:hint="eastAsia"/>
          <w:color w:val="auto"/>
          <w:kern w:val="0"/>
          <w:lang w:val="en-US" w:eastAsia="zh-CN"/>
        </w:rPr>
        <w:t>通过数据全生命周期安全脆弱性和威胁识别、法律合规风险识别评估、核心业务和系统安全脆弱性和威胁识别等，</w:t>
      </w:r>
      <w:r>
        <w:rPr>
          <w:rFonts w:hint="eastAsia"/>
          <w:color w:val="auto"/>
          <w:kern w:val="0"/>
        </w:rPr>
        <w:t>梳理出省科技厅数据资产情况、数据流转情况、数据安全管理现状、技术现状等，找出数据安全距离法律法规和标准要求的各项差距，并结合内外部威胁情况，综合研判省科技厅在数据处理活动过程中面临的数据安全风险，形成数据安全合规性检测报告与数据安全风险评估报告</w:t>
      </w:r>
      <w:r>
        <w:rPr>
          <w:rFonts w:hint="eastAsia"/>
          <w:color w:val="auto"/>
          <w:kern w:val="0"/>
          <w:lang w:eastAsia="zh-CN"/>
        </w:rPr>
        <w:t>。</w:t>
      </w:r>
    </w:p>
    <w:p>
      <w:pPr>
        <w:pStyle w:val="4"/>
        <w:widowControl/>
        <w:ind w:firstLine="560"/>
        <w:jc w:val="left"/>
        <w:rPr>
          <w:rFonts w:hint="eastAsia" w:eastAsia="仿宋_GB2312"/>
          <w:color w:val="auto"/>
          <w:kern w:val="0"/>
          <w:lang w:eastAsia="zh-CN"/>
        </w:rPr>
      </w:pPr>
      <w:r>
        <w:rPr>
          <w:rFonts w:hint="eastAsia"/>
          <w:color w:val="auto"/>
          <w:kern w:val="0"/>
        </w:rPr>
        <w:t>本服务的交付物</w:t>
      </w:r>
      <w:r>
        <w:rPr>
          <w:rFonts w:hint="eastAsia"/>
          <w:color w:val="auto"/>
          <w:kern w:val="0"/>
          <w:lang w:val="en-US" w:eastAsia="zh-CN"/>
        </w:rPr>
        <w:t>包括</w:t>
      </w:r>
      <w:r>
        <w:rPr>
          <w:rFonts w:hint="eastAsia"/>
          <w:color w:val="auto"/>
          <w:kern w:val="0"/>
        </w:rPr>
        <w:t>数据安全风险评估调研问卷</w:t>
      </w:r>
      <w:r>
        <w:rPr>
          <w:rFonts w:hint="eastAsia"/>
          <w:color w:val="auto"/>
          <w:kern w:val="0"/>
          <w:lang w:eastAsia="zh-CN"/>
        </w:rPr>
        <w:t>、数据安全风险评估方案、数据安全现场评估记录、数据安全问题清单与整改意见单、数据安全合规性检测报告、数据安全风险评估报告</w:t>
      </w:r>
      <w:r>
        <w:rPr>
          <w:rFonts w:hint="eastAsia"/>
          <w:color w:val="auto"/>
          <w:kern w:val="0"/>
          <w:lang w:val="en-US" w:eastAsia="zh-CN"/>
        </w:rPr>
        <w:t>等</w:t>
      </w:r>
      <w:r>
        <w:rPr>
          <w:rFonts w:hint="eastAsia"/>
          <w:color w:val="auto"/>
          <w:kern w:val="0"/>
          <w:lang w:eastAsia="zh-CN"/>
        </w:rPr>
        <w:t>。</w:t>
      </w:r>
    </w:p>
    <w:p>
      <w:pPr>
        <w:pStyle w:val="7"/>
        <w:widowControl/>
        <w:ind w:left="0" w:firstLine="0"/>
        <w:jc w:val="left"/>
        <w:rPr>
          <w:rFonts w:hint="eastAsia"/>
          <w:color w:val="auto"/>
          <w:kern w:val="0"/>
        </w:rPr>
      </w:pPr>
      <w:r>
        <w:rPr>
          <w:rFonts w:hint="eastAsia"/>
          <w:color w:val="auto"/>
          <w:kern w:val="0"/>
        </w:rPr>
        <w:t>数据安全专项规划编制服务</w:t>
      </w:r>
    </w:p>
    <w:p>
      <w:pPr>
        <w:pStyle w:val="4"/>
        <w:widowControl/>
        <w:ind w:firstLine="560"/>
        <w:jc w:val="left"/>
        <w:rPr>
          <w:rFonts w:hint="eastAsia"/>
          <w:color w:val="auto"/>
          <w:kern w:val="0"/>
        </w:rPr>
      </w:pPr>
      <w:r>
        <w:rPr>
          <w:rFonts w:hint="eastAsia"/>
          <w:color w:val="auto"/>
          <w:kern w:val="0"/>
          <w:lang w:val="en-US" w:eastAsia="zh-CN"/>
        </w:rPr>
        <w:t>依据相关法律法规要求，</w:t>
      </w:r>
      <w:r>
        <w:rPr>
          <w:rFonts w:hint="eastAsia"/>
          <w:color w:val="auto"/>
          <w:kern w:val="0"/>
        </w:rPr>
        <w:t>开展省科技厅数据安全建设规划研究，编制形成数据安全专项规划和数据安全专项规划实施方案。</w:t>
      </w:r>
    </w:p>
    <w:p>
      <w:pPr>
        <w:pStyle w:val="4"/>
        <w:widowControl/>
        <w:ind w:firstLine="560"/>
        <w:jc w:val="left"/>
        <w:rPr>
          <w:rFonts w:hint="eastAsia" w:eastAsia="仿宋_GB2312"/>
          <w:color w:val="auto"/>
          <w:kern w:val="0"/>
          <w:lang w:eastAsia="zh-CN"/>
        </w:rPr>
      </w:pPr>
      <w:r>
        <w:rPr>
          <w:rFonts w:hint="eastAsia"/>
          <w:color w:val="auto"/>
          <w:kern w:val="0"/>
        </w:rPr>
        <w:t>本服务的交付物为数据安全专项规划</w:t>
      </w:r>
      <w:r>
        <w:rPr>
          <w:rFonts w:hint="eastAsia"/>
          <w:color w:val="auto"/>
          <w:kern w:val="0"/>
          <w:lang w:eastAsia="zh-CN"/>
        </w:rPr>
        <w:t>、数据安全专项规划实施方案</w:t>
      </w:r>
      <w:r>
        <w:rPr>
          <w:rFonts w:hint="eastAsia"/>
          <w:color w:val="auto"/>
          <w:kern w:val="0"/>
          <w:lang w:val="en-US" w:eastAsia="zh-CN"/>
        </w:rPr>
        <w:t>和评审汇报材料</w:t>
      </w:r>
      <w:r>
        <w:rPr>
          <w:rFonts w:hint="eastAsia"/>
          <w:color w:val="auto"/>
          <w:kern w:val="0"/>
          <w:lang w:eastAsia="zh-CN"/>
        </w:rPr>
        <w:t>。</w:t>
      </w:r>
    </w:p>
    <w:p>
      <w:pPr>
        <w:pStyle w:val="7"/>
        <w:widowControl/>
        <w:ind w:left="0" w:firstLine="0"/>
        <w:jc w:val="left"/>
        <w:rPr>
          <w:rFonts w:hint="eastAsia" w:ascii="仿宋_GB2312" w:hAnsi="仿宋_GB2312" w:eastAsia="仿宋_GB2312" w:cs="宋体"/>
          <w:b/>
          <w:bCs/>
          <w:color w:val="auto"/>
          <w:kern w:val="0"/>
          <w:sz w:val="28"/>
          <w:szCs w:val="28"/>
          <w:lang w:val="en-US" w:eastAsia="zh-CN" w:bidi="ar-SA"/>
        </w:rPr>
      </w:pPr>
      <w:r>
        <w:rPr>
          <w:rFonts w:hint="eastAsia"/>
          <w:color w:val="auto"/>
          <w:kern w:val="0"/>
        </w:rPr>
        <w:t>数据安全管理体系建设服务</w:t>
      </w:r>
    </w:p>
    <w:p>
      <w:pPr>
        <w:widowControl/>
        <w:ind w:firstLine="560" w:firstLineChars="200"/>
        <w:jc w:val="left"/>
        <w:rPr>
          <w:rFonts w:hint="eastAsia" w:ascii="Times New Roman" w:hAnsi="Times New Roman" w:eastAsia="仿宋_GB2312" w:cs="宋体"/>
          <w:color w:val="auto"/>
          <w:kern w:val="0"/>
          <w:sz w:val="28"/>
          <w:lang w:eastAsia="zh-CN"/>
        </w:rPr>
      </w:pPr>
      <w:r>
        <w:rPr>
          <w:rFonts w:hint="eastAsia" w:ascii="Times New Roman" w:hAnsi="Times New Roman" w:eastAsia="仿宋_GB2312" w:cs="宋体"/>
          <w:color w:val="auto"/>
          <w:kern w:val="0"/>
          <w:sz w:val="28"/>
        </w:rPr>
        <w:t>按照组织架构设计、文件架构搭建、制度规范编制、征求意见和评审完善、正式发布等流程</w:t>
      </w:r>
      <w:r>
        <w:rPr>
          <w:rFonts w:hint="eastAsia" w:ascii="Times New Roman" w:hAnsi="Times New Roman" w:eastAsia="仿宋_GB2312" w:cs="宋体"/>
          <w:color w:val="auto"/>
          <w:kern w:val="0"/>
          <w:sz w:val="28"/>
          <w:lang w:eastAsia="zh-CN"/>
        </w:rPr>
        <w:t>，</w:t>
      </w:r>
      <w:r>
        <w:rPr>
          <w:rFonts w:hint="eastAsia" w:ascii="Times New Roman" w:hAnsi="Times New Roman" w:eastAsia="仿宋_GB2312" w:cs="宋体"/>
          <w:color w:val="auto"/>
          <w:kern w:val="0"/>
          <w:sz w:val="28"/>
        </w:rPr>
        <w:t>协助省科技厅开展数据安全管理体系建设</w:t>
      </w:r>
      <w:r>
        <w:rPr>
          <w:rFonts w:hint="eastAsia" w:ascii="Times New Roman" w:hAnsi="Times New Roman" w:eastAsia="仿宋_GB2312" w:cs="宋体"/>
          <w:color w:val="auto"/>
          <w:kern w:val="0"/>
          <w:sz w:val="28"/>
          <w:lang w:eastAsia="zh-CN"/>
        </w:rPr>
        <w:t>。</w:t>
      </w:r>
    </w:p>
    <w:p>
      <w:pPr>
        <w:widowControl/>
        <w:ind w:firstLine="560" w:firstLineChars="200"/>
        <w:jc w:val="left"/>
        <w:rPr>
          <w:rFonts w:hint="default" w:ascii="Times New Roman" w:hAnsi="Times New Roman" w:eastAsia="仿宋_GB2312" w:cs="宋体"/>
          <w:color w:val="auto"/>
          <w:kern w:val="0"/>
          <w:sz w:val="28"/>
          <w:lang w:val="en-US" w:eastAsia="zh-CN"/>
        </w:rPr>
      </w:pPr>
      <w:r>
        <w:rPr>
          <w:rFonts w:hint="eastAsia" w:ascii="Times New Roman" w:hAnsi="Times New Roman" w:eastAsia="仿宋_GB2312" w:cs="宋体"/>
          <w:color w:val="auto"/>
          <w:kern w:val="0"/>
          <w:sz w:val="28"/>
          <w:lang w:val="en-US" w:eastAsia="zh-CN"/>
        </w:rPr>
        <w:t>本服务的交付物包括数据安全管理办法、数据安全全生命周期管理细则、数据安全运维管理细则、数据安全应急管理细则、数据销毁管理细则、数据灾备恢复细则、数据分类分级规范、数据安全审计日志规范、数据安全检查规范、数据安全加密规范、数据安全脱敏规范、数据安全风险评估规范、数据安全分类分级操作指南和数据安全风险评估工作指引。</w:t>
      </w:r>
    </w:p>
    <w:p>
      <w:pPr>
        <w:pStyle w:val="7"/>
        <w:widowControl/>
        <w:ind w:left="0" w:firstLine="0"/>
        <w:jc w:val="left"/>
        <w:rPr>
          <w:rFonts w:hint="eastAsia" w:ascii="仿宋_GB2312" w:hAnsi="仿宋_GB2312" w:eastAsia="仿宋_GB2312" w:cs="宋体"/>
          <w:b/>
          <w:bCs/>
          <w:color w:val="auto"/>
          <w:kern w:val="0"/>
          <w:sz w:val="28"/>
          <w:szCs w:val="28"/>
          <w:lang w:val="en-US" w:eastAsia="zh-CN" w:bidi="ar-SA"/>
        </w:rPr>
      </w:pPr>
      <w:r>
        <w:rPr>
          <w:rFonts w:hint="eastAsia" w:ascii="仿宋_GB2312" w:hAnsi="仿宋_GB2312" w:eastAsia="仿宋_GB2312" w:cs="宋体"/>
          <w:b/>
          <w:bCs/>
          <w:color w:val="auto"/>
          <w:kern w:val="0"/>
          <w:sz w:val="28"/>
          <w:szCs w:val="28"/>
          <w:lang w:val="en-US" w:eastAsia="zh-CN" w:bidi="ar-SA"/>
        </w:rPr>
        <w:t>数据分类分级服务</w:t>
      </w:r>
    </w:p>
    <w:p>
      <w:pPr>
        <w:widowControl/>
        <w:ind w:firstLine="560" w:firstLineChars="200"/>
        <w:jc w:val="left"/>
        <w:rPr>
          <w:rFonts w:hint="eastAsia" w:ascii="Times New Roman" w:hAnsi="Times New Roman" w:eastAsia="仿宋_GB2312" w:cs="宋体"/>
          <w:color w:val="auto"/>
          <w:kern w:val="0"/>
          <w:sz w:val="28"/>
          <w:lang w:val="en-US" w:eastAsia="zh-CN"/>
        </w:rPr>
      </w:pPr>
      <w:r>
        <w:rPr>
          <w:rFonts w:hint="eastAsia" w:ascii="Times New Roman" w:hAnsi="Times New Roman" w:eastAsia="仿宋_GB2312" w:cs="宋体"/>
          <w:color w:val="auto"/>
          <w:kern w:val="0"/>
          <w:sz w:val="28"/>
          <w:lang w:val="en-US" w:eastAsia="zh-CN"/>
        </w:rPr>
        <w:t>根据数据资产类型和数据分类分级规范，开展数据资产调研与梳理、数据分类分级实施，完成数据分类分级标识及记录管理工作，为数据分类分级应用提供支撑。本期项目约有70000个数据字段需要完成数据分类分级。</w:t>
      </w:r>
    </w:p>
    <w:p>
      <w:pPr>
        <w:pStyle w:val="11"/>
        <w:widowControl/>
        <w:ind w:left="0" w:leftChars="0" w:firstLine="560" w:firstLineChars="200"/>
        <w:jc w:val="left"/>
        <w:rPr>
          <w:rFonts w:hint="default" w:eastAsia="等线"/>
          <w:color w:val="auto"/>
          <w:kern w:val="0"/>
          <w:lang w:val="en-US" w:eastAsia="zh-CN"/>
        </w:rPr>
      </w:pPr>
      <w:r>
        <w:rPr>
          <w:rFonts w:hint="eastAsia" w:ascii="Times New Roman" w:hAnsi="Times New Roman" w:eastAsia="仿宋_GB2312"/>
          <w:color w:val="auto"/>
          <w:kern w:val="0"/>
          <w:sz w:val="28"/>
          <w:lang w:val="en-US" w:eastAsia="zh-CN"/>
        </w:rPr>
        <w:t>本服务的交付物包括数据资产清单、数据分类分级表、数据分类分级清单、重要数据与核心数据目录、数据分类分级服务报告。</w:t>
      </w:r>
    </w:p>
    <w:p>
      <w:pPr>
        <w:pStyle w:val="2"/>
        <w:ind w:left="0" w:firstLine="0"/>
        <w:rPr>
          <w:rFonts w:hint="eastAsia"/>
          <w:color w:val="auto"/>
        </w:rPr>
      </w:pPr>
      <w:r>
        <w:rPr>
          <w:color w:val="auto"/>
        </w:rPr>
        <w:t>服务要求</w:t>
      </w:r>
    </w:p>
    <w:p>
      <w:pPr>
        <w:pStyle w:val="3"/>
        <w:widowControl/>
        <w:ind w:left="0" w:firstLine="0"/>
        <w:jc w:val="left"/>
        <w:rPr>
          <w:color w:val="auto"/>
        </w:rPr>
      </w:pPr>
      <w:r>
        <w:rPr>
          <w:color w:val="auto"/>
        </w:rPr>
        <w:t>管理要求</w:t>
      </w:r>
    </w:p>
    <w:p>
      <w:pPr>
        <w:pStyle w:val="5"/>
        <w:widowControl/>
        <w:ind w:left="0" w:firstLine="0"/>
        <w:jc w:val="left"/>
        <w:rPr>
          <w:color w:val="auto"/>
        </w:rPr>
      </w:pPr>
      <w:r>
        <w:rPr>
          <w:color w:val="auto"/>
        </w:rPr>
        <w:t>服务人员</w:t>
      </w:r>
      <w:r>
        <w:rPr>
          <w:rFonts w:hint="eastAsia"/>
          <w:color w:val="auto"/>
        </w:rPr>
        <w:t>要求</w:t>
      </w:r>
    </w:p>
    <w:p>
      <w:pPr>
        <w:keepNext w:val="0"/>
        <w:keepLines w:val="0"/>
        <w:pageBreakBefore w:val="0"/>
        <w:widowControl/>
        <w:kinsoku/>
        <w:wordWrap/>
        <w:overflowPunct/>
        <w:topLinePunct w:val="0"/>
        <w:autoSpaceDE/>
        <w:autoSpaceDN/>
        <w:bidi w:val="0"/>
        <w:adjustRightInd/>
        <w:snapToGrid/>
        <w:ind w:firstLine="560" w:firstLineChars="200"/>
        <w:jc w:val="both"/>
        <w:textAlignment w:val="auto"/>
        <w:rPr>
          <w:rFonts w:hint="eastAsia" w:ascii="Times New Roman" w:hAnsi="Times New Roman" w:eastAsia="仿宋_GB2312" w:cs="宋体"/>
          <w:color w:val="auto"/>
          <w:kern w:val="0"/>
          <w:sz w:val="28"/>
          <w:szCs w:val="24"/>
          <w:lang w:val="en-US" w:eastAsia="zh-CN" w:bidi="ar-SA"/>
        </w:rPr>
      </w:pPr>
      <w:r>
        <w:rPr>
          <w:rFonts w:hint="eastAsia" w:ascii="Times New Roman" w:hAnsi="Times New Roman" w:eastAsia="仿宋_GB2312" w:cs="宋体"/>
          <w:color w:val="auto"/>
          <w:kern w:val="0"/>
          <w:sz w:val="28"/>
          <w:szCs w:val="24"/>
          <w:lang w:val="en-US" w:eastAsia="zh-CN" w:bidi="ar-SA"/>
        </w:rPr>
        <w:t>中标人应指派固定的团队为本项目提供专业服务，服务团队人员不得少于6人。</w:t>
      </w:r>
    </w:p>
    <w:tbl>
      <w:tblPr>
        <w:tblStyle w:val="12"/>
        <w:tblW w:w="483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2490"/>
        <w:gridCol w:w="1398"/>
        <w:gridCol w:w="3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4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仿宋_GB2312" w:cs="Times New Roman"/>
                <w:b/>
                <w:bCs w:val="0"/>
                <w:color w:val="auto"/>
                <w:kern w:val="0"/>
                <w:sz w:val="24"/>
                <w:szCs w:val="24"/>
                <w:lang w:val="en-US"/>
              </w:rPr>
            </w:pPr>
            <w:r>
              <w:rPr>
                <w:rFonts w:hint="default" w:ascii="Times New Roman" w:hAnsi="Times New Roman" w:eastAsia="仿宋_GB2312" w:cs="Times New Roman"/>
                <w:b/>
                <w:bCs w:val="0"/>
                <w:color w:val="auto"/>
                <w:kern w:val="2"/>
                <w:sz w:val="24"/>
                <w:szCs w:val="24"/>
                <w:lang w:val="en-US" w:eastAsia="zh-CN" w:bidi="ar"/>
              </w:rPr>
              <w:t>序号</w:t>
            </w:r>
          </w:p>
        </w:tc>
        <w:tc>
          <w:tcPr>
            <w:tcW w:w="15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仿宋_GB2312" w:cs="Times New Roman"/>
                <w:b/>
                <w:bCs w:val="0"/>
                <w:color w:val="auto"/>
                <w:kern w:val="0"/>
                <w:sz w:val="24"/>
                <w:szCs w:val="24"/>
                <w:lang w:val="en-US"/>
              </w:rPr>
            </w:pPr>
            <w:r>
              <w:rPr>
                <w:rFonts w:hint="default" w:ascii="Times New Roman" w:hAnsi="Times New Roman" w:eastAsia="仿宋_GB2312" w:cs="Times New Roman"/>
                <w:b/>
                <w:bCs w:val="0"/>
                <w:color w:val="auto"/>
                <w:kern w:val="2"/>
                <w:sz w:val="24"/>
                <w:szCs w:val="24"/>
                <w:lang w:val="en-US" w:eastAsia="zh-CN" w:bidi="ar"/>
              </w:rPr>
              <w:t>服务内容</w:t>
            </w:r>
          </w:p>
        </w:tc>
        <w:tc>
          <w:tcPr>
            <w:tcW w:w="84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仿宋_GB2312" w:cs="Times New Roman"/>
                <w:b/>
                <w:bCs w:val="0"/>
                <w:color w:val="auto"/>
                <w:kern w:val="0"/>
                <w:sz w:val="24"/>
                <w:szCs w:val="24"/>
                <w:lang w:val="en-US"/>
              </w:rPr>
            </w:pPr>
            <w:r>
              <w:rPr>
                <w:rFonts w:hint="default" w:ascii="Times New Roman" w:hAnsi="Times New Roman" w:eastAsia="仿宋_GB2312" w:cs="Times New Roman"/>
                <w:b/>
                <w:bCs w:val="0"/>
                <w:color w:val="auto"/>
                <w:kern w:val="2"/>
                <w:sz w:val="24"/>
                <w:szCs w:val="24"/>
                <w:lang w:val="en-US" w:eastAsia="zh-CN" w:bidi="ar"/>
              </w:rPr>
              <w:t>人员数量</w:t>
            </w:r>
          </w:p>
        </w:tc>
        <w:tc>
          <w:tcPr>
            <w:tcW w:w="22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仿宋_GB2312" w:cs="Times New Roman"/>
                <w:b/>
                <w:bCs w:val="0"/>
                <w:color w:val="auto"/>
                <w:kern w:val="0"/>
                <w:sz w:val="24"/>
                <w:szCs w:val="24"/>
                <w:lang w:val="en-US"/>
              </w:rPr>
            </w:pPr>
            <w:r>
              <w:rPr>
                <w:rFonts w:hint="default" w:ascii="Times New Roman" w:hAnsi="Times New Roman" w:eastAsia="仿宋_GB2312" w:cs="Times New Roman"/>
                <w:b/>
                <w:bCs w:val="0"/>
                <w:color w:val="auto"/>
                <w:kern w:val="2"/>
                <w:sz w:val="24"/>
                <w:szCs w:val="24"/>
                <w:lang w:val="en-US" w:eastAsia="zh-CN" w:bidi="ar"/>
              </w:rPr>
              <w:t>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4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仿宋_GB2312" w:cs="Times New Roman"/>
                <w:color w:val="auto"/>
                <w:kern w:val="0"/>
                <w:sz w:val="24"/>
                <w:szCs w:val="24"/>
                <w:lang w:val="en-US"/>
              </w:rPr>
            </w:pPr>
            <w:r>
              <w:rPr>
                <w:rFonts w:hint="default" w:ascii="Times New Roman" w:hAnsi="Times New Roman" w:eastAsia="仿宋_GB2312" w:cs="Times New Roman"/>
                <w:color w:val="auto"/>
                <w:kern w:val="2"/>
                <w:sz w:val="24"/>
                <w:szCs w:val="24"/>
                <w:lang w:val="en-US" w:eastAsia="zh-CN" w:bidi="ar"/>
              </w:rPr>
              <w:t>1</w:t>
            </w:r>
          </w:p>
        </w:tc>
        <w:tc>
          <w:tcPr>
            <w:tcW w:w="1511"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仿宋_GB2312" w:cs="Times New Roman"/>
                <w:color w:val="auto"/>
                <w:kern w:val="0"/>
                <w:sz w:val="24"/>
                <w:szCs w:val="24"/>
                <w:lang w:val="en-US"/>
              </w:rPr>
            </w:pPr>
            <w:r>
              <w:rPr>
                <w:rFonts w:hint="default" w:ascii="Times New Roman" w:hAnsi="Times New Roman" w:eastAsia="仿宋_GB2312" w:cs="Times New Roman"/>
                <w:color w:val="auto"/>
                <w:kern w:val="2"/>
                <w:sz w:val="24"/>
                <w:szCs w:val="24"/>
                <w:lang w:val="en-US" w:eastAsia="zh-CN" w:bidi="ar"/>
              </w:rPr>
              <w:t>数据安全风险评估服务</w:t>
            </w:r>
            <w:r>
              <w:rPr>
                <w:rFonts w:hint="eastAsia" w:ascii="Times New Roman" w:hAnsi="Times New Roman" w:eastAsia="仿宋_GB2312" w:cs="Times New Roman"/>
                <w:color w:val="auto"/>
                <w:kern w:val="2"/>
                <w:sz w:val="24"/>
                <w:szCs w:val="24"/>
                <w:lang w:val="en-US" w:eastAsia="zh-CN" w:bidi="ar"/>
              </w:rPr>
              <w:t>、数据安全专项规划编制服务、数据安全管理体系建设服务、数据分类分级服务</w:t>
            </w:r>
          </w:p>
        </w:tc>
        <w:tc>
          <w:tcPr>
            <w:tcW w:w="84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仿宋_GB2312" w:cs="Times New Roman"/>
                <w:color w:val="auto"/>
                <w:kern w:val="0"/>
                <w:sz w:val="24"/>
                <w:szCs w:val="24"/>
                <w:lang w:val="en-US"/>
              </w:rPr>
            </w:pPr>
            <w:r>
              <w:rPr>
                <w:rFonts w:hint="default" w:ascii="Times New Roman" w:hAnsi="Times New Roman" w:eastAsia="仿宋_GB2312" w:cs="Times New Roman"/>
                <w:color w:val="auto"/>
                <w:kern w:val="2"/>
                <w:sz w:val="24"/>
                <w:szCs w:val="24"/>
                <w:lang w:val="en-US" w:eastAsia="zh-CN" w:bidi="ar"/>
              </w:rPr>
              <w:t>1人</w:t>
            </w:r>
          </w:p>
        </w:tc>
        <w:tc>
          <w:tcPr>
            <w:tcW w:w="22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仿宋_GB2312" w:cs="Times New Roman"/>
                <w:color w:val="auto"/>
                <w:kern w:val="0"/>
                <w:sz w:val="24"/>
                <w:szCs w:val="24"/>
                <w:lang w:val="en-US"/>
              </w:rPr>
            </w:pPr>
            <w:r>
              <w:rPr>
                <w:rFonts w:hint="default" w:ascii="Times New Roman" w:hAnsi="Times New Roman" w:eastAsia="仿宋_GB2312" w:cs="Times New Roman"/>
                <w:color w:val="auto"/>
                <w:kern w:val="2"/>
                <w:sz w:val="24"/>
                <w:szCs w:val="24"/>
                <w:lang w:val="en-US" w:eastAsia="zh-CN" w:bidi="ar"/>
              </w:rPr>
              <w:t>提供</w:t>
            </w:r>
            <w:r>
              <w:rPr>
                <w:rFonts w:hint="eastAsia" w:ascii="Times New Roman" w:hAnsi="Times New Roman" w:eastAsia="仿宋_GB2312" w:cs="Times New Roman"/>
                <w:color w:val="auto"/>
                <w:kern w:val="2"/>
                <w:sz w:val="24"/>
                <w:szCs w:val="24"/>
                <w:lang w:val="en-US" w:eastAsia="zh-CN" w:bidi="ar"/>
              </w:rPr>
              <w:t>项目经理</w:t>
            </w:r>
            <w:r>
              <w:rPr>
                <w:rFonts w:hint="default" w:ascii="Times New Roman" w:hAnsi="Times New Roman" w:eastAsia="仿宋_GB2312" w:cs="Times New Roman"/>
                <w:color w:val="auto"/>
                <w:kern w:val="2"/>
                <w:sz w:val="24"/>
                <w:szCs w:val="24"/>
                <w:lang w:val="en-US" w:eastAsia="zh-CN" w:bidi="ar"/>
              </w:rPr>
              <w:t>，安全行业从业3到5年经验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4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2</w:t>
            </w:r>
          </w:p>
        </w:tc>
        <w:tc>
          <w:tcPr>
            <w:tcW w:w="1511"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auto"/>
                <w:kern w:val="0"/>
                <w:sz w:val="24"/>
                <w:szCs w:val="24"/>
              </w:rPr>
            </w:pPr>
          </w:p>
        </w:tc>
        <w:tc>
          <w:tcPr>
            <w:tcW w:w="84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仿宋_GB2312" w:cs="Times New Roman"/>
                <w:color w:val="auto"/>
                <w:kern w:val="0"/>
                <w:sz w:val="24"/>
                <w:szCs w:val="24"/>
                <w:lang w:val="en-US"/>
              </w:rPr>
            </w:pPr>
            <w:r>
              <w:rPr>
                <w:rFonts w:hint="default" w:ascii="Times New Roman" w:hAnsi="Times New Roman" w:eastAsia="仿宋_GB2312" w:cs="Times New Roman"/>
                <w:color w:val="auto"/>
                <w:kern w:val="2"/>
                <w:sz w:val="24"/>
                <w:szCs w:val="24"/>
                <w:lang w:val="en-US" w:eastAsia="zh-CN" w:bidi="ar"/>
              </w:rPr>
              <w:t>1人</w:t>
            </w:r>
          </w:p>
        </w:tc>
        <w:tc>
          <w:tcPr>
            <w:tcW w:w="22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仿宋_GB2312" w:cs="Times New Roman"/>
                <w:color w:val="auto"/>
                <w:kern w:val="0"/>
                <w:sz w:val="24"/>
                <w:szCs w:val="24"/>
                <w:lang w:val="en-US"/>
              </w:rPr>
            </w:pPr>
            <w:r>
              <w:rPr>
                <w:rFonts w:hint="default" w:ascii="Times New Roman" w:hAnsi="Times New Roman" w:eastAsia="仿宋_GB2312" w:cs="Times New Roman"/>
                <w:color w:val="auto"/>
                <w:kern w:val="2"/>
                <w:sz w:val="24"/>
                <w:szCs w:val="24"/>
                <w:lang w:val="en-US" w:eastAsia="zh-CN" w:bidi="ar"/>
              </w:rPr>
              <w:t>提供高级工程师，要求在安全行业从业5年以上经验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4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3</w:t>
            </w:r>
          </w:p>
        </w:tc>
        <w:tc>
          <w:tcPr>
            <w:tcW w:w="1511"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auto"/>
                <w:kern w:val="0"/>
                <w:sz w:val="24"/>
                <w:szCs w:val="24"/>
              </w:rPr>
            </w:pPr>
          </w:p>
        </w:tc>
        <w:tc>
          <w:tcPr>
            <w:tcW w:w="84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仿宋_GB2312" w:cs="Times New Roman"/>
                <w:color w:val="auto"/>
                <w:kern w:val="2"/>
                <w:sz w:val="24"/>
                <w:szCs w:val="24"/>
                <w:lang w:val="en-US" w:eastAsia="zh-CN" w:bidi="ar"/>
              </w:rPr>
            </w:pPr>
            <w:r>
              <w:rPr>
                <w:rFonts w:hint="eastAsia" w:ascii="Times New Roman" w:hAnsi="Times New Roman" w:eastAsia="仿宋_GB2312" w:cs="Times New Roman"/>
                <w:color w:val="auto"/>
                <w:kern w:val="2"/>
                <w:sz w:val="24"/>
                <w:szCs w:val="24"/>
                <w:lang w:val="en-US" w:eastAsia="zh-CN" w:bidi="ar"/>
              </w:rPr>
              <w:t>3人</w:t>
            </w:r>
          </w:p>
        </w:tc>
        <w:tc>
          <w:tcPr>
            <w:tcW w:w="22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仿宋_GB2312" w:cs="Times New Roman"/>
                <w:color w:val="auto"/>
                <w:kern w:val="2"/>
                <w:sz w:val="24"/>
                <w:szCs w:val="24"/>
                <w:lang w:val="en-US" w:eastAsia="zh-CN" w:bidi="ar"/>
              </w:rPr>
            </w:pPr>
            <w:r>
              <w:rPr>
                <w:rFonts w:hint="default" w:ascii="Times New Roman" w:hAnsi="Times New Roman" w:eastAsia="仿宋_GB2312" w:cs="Times New Roman"/>
                <w:color w:val="auto"/>
                <w:kern w:val="2"/>
                <w:sz w:val="24"/>
                <w:szCs w:val="24"/>
                <w:lang w:val="en-US" w:eastAsia="zh-CN" w:bidi="ar"/>
              </w:rPr>
              <w:t>提供</w:t>
            </w:r>
            <w:r>
              <w:rPr>
                <w:rFonts w:hint="eastAsia" w:ascii="Times New Roman" w:hAnsi="Times New Roman" w:eastAsia="仿宋_GB2312" w:cs="Times New Roman"/>
                <w:color w:val="auto"/>
                <w:kern w:val="2"/>
                <w:sz w:val="24"/>
                <w:szCs w:val="24"/>
                <w:lang w:val="en-US" w:eastAsia="zh-CN" w:bidi="ar"/>
              </w:rPr>
              <w:t>中</w:t>
            </w:r>
            <w:r>
              <w:rPr>
                <w:rFonts w:hint="default" w:ascii="Times New Roman" w:hAnsi="Times New Roman" w:eastAsia="仿宋_GB2312" w:cs="Times New Roman"/>
                <w:color w:val="auto"/>
                <w:kern w:val="2"/>
                <w:sz w:val="24"/>
                <w:szCs w:val="24"/>
                <w:lang w:val="en-US" w:eastAsia="zh-CN" w:bidi="ar"/>
              </w:rPr>
              <w:t>级工程师，要求在安全行业从业</w:t>
            </w:r>
            <w:r>
              <w:rPr>
                <w:rFonts w:hint="eastAsia" w:ascii="Times New Roman" w:hAnsi="Times New Roman" w:eastAsia="仿宋_GB2312" w:cs="Times New Roman"/>
                <w:color w:val="auto"/>
                <w:kern w:val="2"/>
                <w:sz w:val="24"/>
                <w:szCs w:val="24"/>
                <w:lang w:val="en-US" w:eastAsia="zh-CN" w:bidi="ar"/>
              </w:rPr>
              <w:t>3</w:t>
            </w:r>
            <w:r>
              <w:rPr>
                <w:rFonts w:hint="default" w:ascii="Times New Roman" w:hAnsi="Times New Roman" w:eastAsia="仿宋_GB2312" w:cs="Times New Roman"/>
                <w:color w:val="auto"/>
                <w:kern w:val="2"/>
                <w:sz w:val="24"/>
                <w:szCs w:val="24"/>
                <w:lang w:val="en-US" w:eastAsia="zh-CN" w:bidi="ar"/>
              </w:rPr>
              <w:t>年以上经验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w:t>
            </w:r>
          </w:p>
        </w:tc>
        <w:tc>
          <w:tcPr>
            <w:tcW w:w="1511"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auto"/>
                <w:kern w:val="0"/>
                <w:sz w:val="24"/>
                <w:szCs w:val="24"/>
              </w:rPr>
            </w:pPr>
          </w:p>
        </w:tc>
        <w:tc>
          <w:tcPr>
            <w:tcW w:w="84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仿宋_GB2312" w:cs="Times New Roman"/>
                <w:color w:val="auto"/>
                <w:kern w:val="2"/>
                <w:sz w:val="24"/>
                <w:szCs w:val="24"/>
                <w:lang w:val="en-US" w:eastAsia="zh-CN" w:bidi="ar"/>
              </w:rPr>
            </w:pPr>
            <w:r>
              <w:rPr>
                <w:rFonts w:hint="eastAsia" w:ascii="Times New Roman" w:hAnsi="Times New Roman" w:eastAsia="仿宋_GB2312" w:cs="Times New Roman"/>
                <w:color w:val="auto"/>
                <w:kern w:val="2"/>
                <w:sz w:val="24"/>
                <w:szCs w:val="24"/>
                <w:lang w:val="en-US" w:eastAsia="zh-CN" w:bidi="ar"/>
              </w:rPr>
              <w:t>1人</w:t>
            </w:r>
          </w:p>
        </w:tc>
        <w:tc>
          <w:tcPr>
            <w:tcW w:w="22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仿宋_GB2312" w:cs="Times New Roman"/>
                <w:color w:val="auto"/>
                <w:kern w:val="2"/>
                <w:sz w:val="24"/>
                <w:szCs w:val="24"/>
                <w:lang w:val="en-US" w:eastAsia="zh-CN" w:bidi="ar"/>
              </w:rPr>
            </w:pPr>
            <w:r>
              <w:rPr>
                <w:rFonts w:hint="default" w:ascii="Times New Roman" w:hAnsi="Times New Roman" w:eastAsia="仿宋_GB2312" w:cs="Times New Roman"/>
                <w:color w:val="auto"/>
                <w:kern w:val="2"/>
                <w:sz w:val="24"/>
                <w:szCs w:val="24"/>
                <w:lang w:val="en-US" w:eastAsia="zh-CN" w:bidi="ar"/>
              </w:rPr>
              <w:t>提供</w:t>
            </w:r>
            <w:r>
              <w:rPr>
                <w:rFonts w:hint="eastAsia" w:ascii="Times New Roman" w:hAnsi="Times New Roman" w:eastAsia="仿宋_GB2312" w:cs="Times New Roman"/>
                <w:color w:val="auto"/>
                <w:kern w:val="2"/>
                <w:sz w:val="24"/>
                <w:szCs w:val="24"/>
                <w:lang w:val="en-US" w:eastAsia="zh-CN" w:bidi="ar"/>
              </w:rPr>
              <w:t>初</w:t>
            </w:r>
            <w:r>
              <w:rPr>
                <w:rFonts w:hint="default" w:ascii="Times New Roman" w:hAnsi="Times New Roman" w:eastAsia="仿宋_GB2312" w:cs="Times New Roman"/>
                <w:color w:val="auto"/>
                <w:kern w:val="2"/>
                <w:sz w:val="24"/>
                <w:szCs w:val="24"/>
                <w:lang w:val="en-US" w:eastAsia="zh-CN" w:bidi="ar"/>
              </w:rPr>
              <w:t>级工程师，要求在安全行业从业</w:t>
            </w:r>
            <w:r>
              <w:rPr>
                <w:rFonts w:hint="eastAsia" w:ascii="Times New Roman" w:hAnsi="Times New Roman" w:eastAsia="仿宋_GB2312" w:cs="Times New Roman"/>
                <w:color w:val="auto"/>
                <w:kern w:val="2"/>
                <w:sz w:val="24"/>
                <w:szCs w:val="24"/>
                <w:lang w:val="en-US" w:eastAsia="zh-CN" w:bidi="ar"/>
              </w:rPr>
              <w:t>1</w:t>
            </w:r>
            <w:r>
              <w:rPr>
                <w:rFonts w:hint="default" w:ascii="Times New Roman" w:hAnsi="Times New Roman" w:eastAsia="仿宋_GB2312" w:cs="Times New Roman"/>
                <w:color w:val="auto"/>
                <w:kern w:val="2"/>
                <w:sz w:val="24"/>
                <w:szCs w:val="24"/>
                <w:lang w:val="en-US" w:eastAsia="zh-CN" w:bidi="ar"/>
              </w:rPr>
              <w:t>年以上经验</w:t>
            </w:r>
          </w:p>
        </w:tc>
      </w:tr>
    </w:tbl>
    <w:p>
      <w:pPr>
        <w:keepNext w:val="0"/>
        <w:keepLines w:val="0"/>
        <w:pageBreakBefore w:val="0"/>
        <w:widowControl/>
        <w:kinsoku/>
        <w:wordWrap/>
        <w:overflowPunct/>
        <w:topLinePunct w:val="0"/>
        <w:autoSpaceDE/>
        <w:autoSpaceDN/>
        <w:bidi w:val="0"/>
        <w:adjustRightInd/>
        <w:snapToGrid/>
        <w:ind w:firstLine="560" w:firstLineChars="200"/>
        <w:jc w:val="both"/>
        <w:textAlignment w:val="auto"/>
        <w:rPr>
          <w:rFonts w:hint="eastAsia" w:ascii="Times New Roman" w:hAnsi="Times New Roman" w:eastAsia="仿宋_GB2312" w:cs="宋体"/>
          <w:color w:val="auto"/>
          <w:kern w:val="0"/>
          <w:sz w:val="28"/>
          <w:szCs w:val="24"/>
          <w:lang w:val="en-US" w:eastAsia="zh-CN" w:bidi="ar-SA"/>
        </w:rPr>
      </w:pPr>
      <w:r>
        <w:rPr>
          <w:rFonts w:hint="eastAsia" w:ascii="Times New Roman" w:hAnsi="Times New Roman" w:eastAsia="仿宋_GB2312" w:cs="宋体"/>
          <w:color w:val="auto"/>
          <w:kern w:val="0"/>
          <w:sz w:val="28"/>
          <w:szCs w:val="24"/>
          <w:lang w:val="en-US" w:eastAsia="zh-CN" w:bidi="ar-SA"/>
        </w:rPr>
        <w:t>如须调整服务团队成员，须书面向采购人提出申请，说明申请理由，经采购人书面同意方可调整团队人员，调入人员的资历和从业经验不低于调出人员，否则视为违约行为，采购人有权终止服务合同。</w:t>
      </w:r>
    </w:p>
    <w:p>
      <w:pPr>
        <w:keepNext w:val="0"/>
        <w:keepLines w:val="0"/>
        <w:pageBreakBefore w:val="0"/>
        <w:widowControl/>
        <w:kinsoku/>
        <w:wordWrap/>
        <w:overflowPunct/>
        <w:topLinePunct w:val="0"/>
        <w:autoSpaceDE/>
        <w:autoSpaceDN/>
        <w:bidi w:val="0"/>
        <w:adjustRightInd/>
        <w:snapToGrid/>
        <w:ind w:firstLine="560" w:firstLineChars="200"/>
        <w:jc w:val="both"/>
        <w:textAlignment w:val="auto"/>
        <w:rPr>
          <w:rFonts w:hint="eastAsia" w:ascii="Times New Roman" w:hAnsi="Times New Roman" w:eastAsia="仿宋_GB2312" w:cs="宋体"/>
          <w:color w:val="auto"/>
          <w:kern w:val="0"/>
          <w:sz w:val="28"/>
          <w:szCs w:val="24"/>
          <w:lang w:val="en-US" w:eastAsia="zh-CN" w:bidi="ar-SA"/>
        </w:rPr>
      </w:pPr>
      <w:r>
        <w:rPr>
          <w:rFonts w:hint="eastAsia" w:ascii="Times New Roman" w:hAnsi="Times New Roman" w:eastAsia="仿宋_GB2312" w:cs="宋体"/>
          <w:color w:val="auto"/>
          <w:kern w:val="0"/>
          <w:sz w:val="28"/>
          <w:szCs w:val="24"/>
          <w:lang w:val="en-US" w:eastAsia="zh-CN" w:bidi="ar-SA"/>
        </w:rPr>
        <w:t>应提供以上人员相关证明资料复印件并加盖公章，并提供以上人员在本单位任职的有效外部证明材料（如加盖政府有关部门印章的《投保单》或《社会保险参保人员证明》，或单位代缴个人所得税税单等，事业法人的相关人员应提供该单位的相关证明）复印件。</w:t>
      </w:r>
    </w:p>
    <w:p>
      <w:pPr>
        <w:pStyle w:val="5"/>
        <w:widowControl/>
        <w:ind w:left="0" w:firstLine="0"/>
        <w:jc w:val="left"/>
        <w:rPr>
          <w:color w:val="auto"/>
        </w:rPr>
      </w:pPr>
      <w:r>
        <w:rPr>
          <w:color w:val="auto"/>
        </w:rPr>
        <w:t>进度要求</w:t>
      </w:r>
    </w:p>
    <w:p>
      <w:pPr>
        <w:widowControl/>
        <w:spacing w:line="360" w:lineRule="auto"/>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本项目服务期为12个月。中标人需明确本项目工作的方式、方法、过程步骤、按阶段分解的详细计划、对应计划应提交的工作成果、需要采购人协调与配合的事项，并经采购人审核、批准。</w:t>
      </w:r>
    </w:p>
    <w:p>
      <w:pPr>
        <w:widowControl/>
        <w:spacing w:line="360" w:lineRule="auto"/>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采购人有权监督和管理投标项目的各项工作，中标人必须接受并服从采购人的监督、管理要求，按要求提供中间过程工作成果。</w:t>
      </w:r>
    </w:p>
    <w:p>
      <w:pPr>
        <w:pStyle w:val="6"/>
        <w:jc w:val="left"/>
        <w:rPr>
          <w:rFonts w:hint="eastAsia" w:eastAsia="仿宋_GB2312"/>
          <w:color w:val="auto"/>
          <w:lang w:eastAsia="zh-CN"/>
        </w:rPr>
      </w:pPr>
      <w:r>
        <w:rPr>
          <w:rFonts w:hint="eastAsia" w:ascii="仿宋_GB2312" w:eastAsia="仿宋_GB2312"/>
          <w:color w:val="auto"/>
          <w:sz w:val="28"/>
          <w:szCs w:val="28"/>
        </w:rPr>
        <w:t>中标人在完全理解标书的要求后，提供实施计划，其中需要包括进度计划、里程碑、交付成果、人员安排等</w:t>
      </w:r>
      <w:r>
        <w:rPr>
          <w:rFonts w:hint="eastAsia" w:ascii="仿宋_GB2312" w:eastAsia="仿宋_GB2312"/>
          <w:color w:val="auto"/>
          <w:sz w:val="28"/>
          <w:szCs w:val="28"/>
          <w:lang w:eastAsia="zh-CN"/>
        </w:rPr>
        <w:t>。</w:t>
      </w:r>
    </w:p>
    <w:p>
      <w:pPr>
        <w:pStyle w:val="5"/>
        <w:widowControl/>
        <w:ind w:left="0" w:firstLine="0"/>
        <w:jc w:val="left"/>
        <w:rPr>
          <w:color w:val="auto"/>
        </w:rPr>
      </w:pPr>
      <w:r>
        <w:rPr>
          <w:color w:val="auto"/>
        </w:rPr>
        <w:t>组织实施要求</w:t>
      </w:r>
    </w:p>
    <w:p>
      <w:pPr>
        <w:pStyle w:val="4"/>
        <w:widowControl/>
        <w:ind w:firstLine="560"/>
        <w:jc w:val="left"/>
        <w:rPr>
          <w:color w:val="auto"/>
          <w:kern w:val="0"/>
        </w:rPr>
      </w:pPr>
      <w:r>
        <w:rPr>
          <w:rFonts w:hint="eastAsia" w:ascii="仿宋_GB2312" w:hAnsi="仿宋_GB2312" w:eastAsia="仿宋_GB2312" w:cs="仿宋_GB2312"/>
          <w:iCs/>
          <w:color w:val="auto"/>
          <w:kern w:val="0"/>
          <w:sz w:val="28"/>
          <w:szCs w:val="28"/>
        </w:rPr>
        <w:t>为使项目按质、按量、按时及有序实施，中标人应建立完善、稳定的项目团队、内部组织管理方式及管理机构、协调机制、技术基础，支撑保障要求及其他相关要求。在机制保障方面，</w:t>
      </w:r>
      <w:r>
        <w:rPr>
          <w:rFonts w:hint="eastAsia" w:ascii="仿宋_GB2312" w:hAnsi="仿宋_GB2312" w:eastAsia="仿宋_GB2312" w:cs="仿宋_GB2312"/>
          <w:iCs/>
          <w:color w:val="auto"/>
          <w:kern w:val="0"/>
          <w:sz w:val="28"/>
          <w:szCs w:val="28"/>
          <w:lang w:val="en-US" w:eastAsia="zh-CN"/>
        </w:rPr>
        <w:t>采用</w:t>
      </w:r>
      <w:r>
        <w:rPr>
          <w:rFonts w:hint="eastAsia" w:ascii="仿宋_GB2312" w:hAnsi="仿宋_GB2312" w:eastAsia="仿宋_GB2312" w:cs="仿宋_GB2312"/>
          <w:iCs/>
          <w:color w:val="auto"/>
          <w:kern w:val="0"/>
          <w:sz w:val="28"/>
          <w:szCs w:val="28"/>
        </w:rPr>
        <w:t>实施小组组织模式。在项目日常管理和条件保障方面，从行政组织、后勤保障和支撑条件各方面创造良好的服务环境，确保项目的顺利实施</w:t>
      </w:r>
      <w:r>
        <w:rPr>
          <w:color w:val="auto"/>
          <w:kern w:val="0"/>
        </w:rPr>
        <w:t>。</w:t>
      </w:r>
    </w:p>
    <w:p>
      <w:pPr>
        <w:pStyle w:val="5"/>
        <w:widowControl/>
        <w:ind w:left="0" w:firstLine="0"/>
        <w:jc w:val="left"/>
        <w:rPr>
          <w:color w:val="auto"/>
        </w:rPr>
      </w:pPr>
      <w:r>
        <w:rPr>
          <w:color w:val="auto"/>
        </w:rPr>
        <w:t>文档管理要求</w:t>
      </w:r>
    </w:p>
    <w:p>
      <w:pPr>
        <w:pStyle w:val="4"/>
        <w:widowControl/>
        <w:ind w:firstLine="560"/>
        <w:jc w:val="left"/>
        <w:rPr>
          <w:color w:val="auto"/>
          <w:kern w:val="0"/>
        </w:rPr>
      </w:pPr>
      <w:r>
        <w:rPr>
          <w:rFonts w:hint="eastAsia"/>
          <w:color w:val="auto"/>
          <w:kern w:val="0"/>
        </w:rPr>
        <w:t>中标人应在项目完成时，将本项目所有文档、资料汇集成册交付给采购人，所有文件要求用中文书写或有完整的中文注释。验收后，中标人按国家、省以及采购人档案管理要求，向采购人提供装订成册的纸质文档至少</w:t>
      </w:r>
      <w:r>
        <w:rPr>
          <w:color w:val="auto"/>
          <w:kern w:val="0"/>
        </w:rPr>
        <w:t>1</w:t>
      </w:r>
      <w:r>
        <w:rPr>
          <w:rFonts w:hint="eastAsia"/>
          <w:color w:val="auto"/>
          <w:kern w:val="0"/>
        </w:rPr>
        <w:t>套，电子文档</w:t>
      </w:r>
      <w:r>
        <w:rPr>
          <w:color w:val="auto"/>
          <w:kern w:val="0"/>
        </w:rPr>
        <w:t>1</w:t>
      </w:r>
      <w:r>
        <w:rPr>
          <w:rFonts w:hint="eastAsia"/>
          <w:color w:val="auto"/>
          <w:kern w:val="0"/>
        </w:rPr>
        <w:t>套</w:t>
      </w:r>
      <w:r>
        <w:rPr>
          <w:color w:val="auto"/>
          <w:kern w:val="0"/>
        </w:rPr>
        <w:t>。</w:t>
      </w:r>
    </w:p>
    <w:p>
      <w:pPr>
        <w:pStyle w:val="5"/>
        <w:widowControl/>
        <w:ind w:left="0" w:firstLine="0"/>
        <w:jc w:val="left"/>
        <w:rPr>
          <w:color w:val="auto"/>
        </w:rPr>
      </w:pPr>
      <w:r>
        <w:rPr>
          <w:color w:val="auto"/>
        </w:rPr>
        <w:t>质量保证要求</w:t>
      </w:r>
    </w:p>
    <w:p>
      <w:pPr>
        <w:pStyle w:val="4"/>
        <w:widowControl/>
        <w:ind w:firstLine="560"/>
        <w:jc w:val="left"/>
        <w:rPr>
          <w:color w:val="auto"/>
          <w:kern w:val="0"/>
        </w:rPr>
      </w:pPr>
      <w:r>
        <w:rPr>
          <w:color w:val="auto"/>
          <w:kern w:val="0"/>
        </w:rPr>
        <w:t>为保证本项目能按时高质的顺利完成，规避项目风险或将风险降至最低程度，</w:t>
      </w:r>
      <w:r>
        <w:rPr>
          <w:rFonts w:hint="eastAsia"/>
          <w:color w:val="auto"/>
          <w:kern w:val="0"/>
        </w:rPr>
        <w:t>中标人</w:t>
      </w:r>
      <w:r>
        <w:rPr>
          <w:color w:val="auto"/>
          <w:kern w:val="0"/>
        </w:rPr>
        <w:t>应建立项目质量管理体系，包括但不限于质量目标、质量指标、岗位责任、问题处理计划、质量评价、整改完善等内容，并建立奖惩制度。</w:t>
      </w:r>
    </w:p>
    <w:p>
      <w:pPr>
        <w:pStyle w:val="3"/>
        <w:widowControl/>
        <w:ind w:left="0" w:firstLine="0"/>
        <w:jc w:val="left"/>
        <w:rPr>
          <w:color w:val="auto"/>
        </w:rPr>
      </w:pPr>
      <w:r>
        <w:rPr>
          <w:color w:val="auto"/>
        </w:rPr>
        <w:t>验收标准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Times New Roman" w:eastAsia="仿宋_GB2312" w:cs="Times New Roman"/>
          <w:iCs/>
          <w:color w:val="auto"/>
          <w:kern w:val="0"/>
          <w:sz w:val="28"/>
          <w:szCs w:val="28"/>
          <w:highlight w:val="none"/>
          <w:lang w:val="en-US" w:eastAsia="zh-CN"/>
        </w:rPr>
      </w:pPr>
      <w:r>
        <w:rPr>
          <w:rFonts w:hint="eastAsia" w:ascii="仿宋_GB2312" w:hAnsi="宋体" w:eastAsia="仿宋_GB2312" w:cs="宋体"/>
          <w:iCs/>
          <w:color w:val="auto"/>
          <w:kern w:val="0"/>
          <w:sz w:val="28"/>
          <w:szCs w:val="28"/>
        </w:rPr>
        <w:t>本项目将按照《广东省省级政务信息化项目管理办法（修订）》（粤府办〔2023〕22号）</w:t>
      </w:r>
      <w:r>
        <w:rPr>
          <w:rFonts w:hint="eastAsia" w:ascii="仿宋_GB2312" w:hAnsi="宋体" w:eastAsia="仿宋_GB2312" w:cs="宋体"/>
          <w:iCs/>
          <w:color w:val="auto"/>
          <w:kern w:val="0"/>
          <w:sz w:val="28"/>
          <w:szCs w:val="28"/>
          <w:lang w:val="en-US" w:eastAsia="zh-CN"/>
        </w:rPr>
        <w:t>等有关规定</w:t>
      </w:r>
      <w:r>
        <w:rPr>
          <w:rFonts w:hint="eastAsia" w:ascii="仿宋_GB2312" w:hAnsi="宋体" w:eastAsia="仿宋_GB2312" w:cs="宋体"/>
          <w:iCs/>
          <w:color w:val="auto"/>
          <w:kern w:val="0"/>
          <w:sz w:val="28"/>
          <w:szCs w:val="28"/>
        </w:rPr>
        <w:t>进行验收，</w:t>
      </w:r>
      <w:r>
        <w:rPr>
          <w:rFonts w:hint="eastAsia" w:ascii="仿宋_GB2312" w:hAnsi="Times New Roman" w:eastAsia="仿宋_GB2312" w:cs="Times New Roman"/>
          <w:iCs/>
          <w:color w:val="auto"/>
          <w:kern w:val="0"/>
          <w:sz w:val="28"/>
          <w:szCs w:val="28"/>
          <w:highlight w:val="none"/>
        </w:rPr>
        <w:t>同时应遵循下列标准：</w:t>
      </w:r>
    </w:p>
    <w:p>
      <w:pPr>
        <w:widowControl/>
        <w:ind w:firstLine="560" w:firstLineChars="200"/>
        <w:jc w:val="left"/>
        <w:rPr>
          <w:rFonts w:hint="eastAsia" w:ascii="仿宋_GB2312" w:hAnsi="宋体" w:eastAsia="仿宋_GB2312" w:cs="宋体"/>
          <w:iCs/>
          <w:color w:val="auto"/>
          <w:kern w:val="0"/>
          <w:sz w:val="28"/>
          <w:szCs w:val="28"/>
        </w:rPr>
      </w:pPr>
      <w:r>
        <w:rPr>
          <w:rFonts w:hint="eastAsia" w:ascii="仿宋_GB2312" w:hAnsi="宋体" w:eastAsia="仿宋_GB2312" w:cs="宋体"/>
          <w:iCs/>
          <w:color w:val="auto"/>
          <w:kern w:val="0"/>
          <w:sz w:val="28"/>
          <w:szCs w:val="28"/>
        </w:rPr>
        <w:t>（1）实现合同合同</w:t>
      </w:r>
      <w:r>
        <w:rPr>
          <w:rFonts w:hint="eastAsia" w:ascii="仿宋_GB2312" w:hAnsi="宋体" w:eastAsia="仿宋_GB2312" w:cs="宋体"/>
          <w:iCs/>
          <w:color w:val="auto"/>
          <w:kern w:val="0"/>
          <w:sz w:val="28"/>
          <w:szCs w:val="28"/>
          <w:lang w:val="en-US" w:eastAsia="zh-CN"/>
        </w:rPr>
        <w:t>及其附件材料（包括采购文件、响应文件等）</w:t>
      </w:r>
      <w:r>
        <w:rPr>
          <w:rFonts w:hint="eastAsia" w:ascii="仿宋_GB2312" w:hAnsi="宋体" w:eastAsia="仿宋_GB2312" w:cs="宋体"/>
          <w:iCs/>
          <w:color w:val="auto"/>
          <w:kern w:val="0"/>
          <w:sz w:val="28"/>
          <w:szCs w:val="28"/>
        </w:rPr>
        <w:t>中列举的全部内容。</w:t>
      </w:r>
    </w:p>
    <w:p>
      <w:pPr>
        <w:widowControl/>
        <w:ind w:firstLine="560" w:firstLineChars="200"/>
        <w:jc w:val="left"/>
        <w:rPr>
          <w:rFonts w:hint="eastAsia" w:ascii="仿宋_GB2312" w:hAnsi="宋体" w:eastAsia="仿宋_GB2312" w:cs="宋体"/>
          <w:iCs/>
          <w:color w:val="auto"/>
          <w:kern w:val="0"/>
          <w:sz w:val="28"/>
          <w:szCs w:val="28"/>
        </w:rPr>
      </w:pPr>
      <w:r>
        <w:rPr>
          <w:rFonts w:hint="eastAsia" w:ascii="仿宋_GB2312" w:hAnsi="宋体" w:eastAsia="仿宋_GB2312" w:cs="宋体"/>
          <w:iCs/>
          <w:color w:val="auto"/>
          <w:kern w:val="0"/>
          <w:sz w:val="28"/>
          <w:szCs w:val="28"/>
        </w:rPr>
        <w:t>（2）项目验收</w:t>
      </w:r>
      <w:r>
        <w:rPr>
          <w:rFonts w:hint="eastAsia" w:ascii="仿宋_GB2312" w:hAnsi="宋体" w:eastAsia="仿宋_GB2312" w:cs="宋体"/>
          <w:iCs/>
          <w:color w:val="auto"/>
          <w:kern w:val="0"/>
          <w:sz w:val="28"/>
          <w:szCs w:val="28"/>
          <w:lang w:val="en-US" w:eastAsia="zh-CN"/>
        </w:rPr>
        <w:t>材料</w:t>
      </w:r>
      <w:r>
        <w:rPr>
          <w:rFonts w:hint="eastAsia" w:ascii="仿宋_GB2312" w:hAnsi="宋体" w:eastAsia="仿宋_GB2312" w:cs="宋体"/>
          <w:iCs/>
          <w:color w:val="auto"/>
          <w:kern w:val="0"/>
          <w:sz w:val="28"/>
          <w:szCs w:val="28"/>
        </w:rPr>
        <w:t>包括按照合同</w:t>
      </w:r>
      <w:r>
        <w:rPr>
          <w:rFonts w:hint="eastAsia" w:ascii="仿宋_GB2312" w:hAnsi="宋体" w:eastAsia="仿宋_GB2312" w:cs="宋体"/>
          <w:iCs/>
          <w:color w:val="auto"/>
          <w:kern w:val="0"/>
          <w:sz w:val="28"/>
          <w:szCs w:val="28"/>
          <w:lang w:val="en-US" w:eastAsia="zh-CN"/>
        </w:rPr>
        <w:t>及其附件（包括采购文件、响应文件等）明确的相关成果文档和</w:t>
      </w:r>
      <w:r>
        <w:rPr>
          <w:rFonts w:hint="eastAsia" w:ascii="仿宋_GB2312" w:hAnsi="宋体" w:eastAsia="仿宋_GB2312" w:cs="宋体"/>
          <w:iCs/>
          <w:color w:val="auto"/>
          <w:kern w:val="0"/>
          <w:sz w:val="28"/>
          <w:szCs w:val="28"/>
        </w:rPr>
        <w:t>省</w:t>
      </w:r>
      <w:r>
        <w:rPr>
          <w:rFonts w:hint="eastAsia" w:ascii="仿宋_GB2312" w:hAnsi="宋体" w:eastAsia="仿宋_GB2312" w:cs="宋体"/>
          <w:iCs/>
          <w:color w:val="auto"/>
          <w:kern w:val="0"/>
          <w:sz w:val="28"/>
          <w:szCs w:val="28"/>
          <w:lang w:val="en-US" w:eastAsia="zh-CN"/>
        </w:rPr>
        <w:t>级政务信息化项目验收管理办法</w:t>
      </w:r>
      <w:r>
        <w:rPr>
          <w:rFonts w:hint="eastAsia" w:ascii="仿宋_GB2312" w:hAnsi="宋体" w:eastAsia="仿宋_GB2312" w:cs="宋体"/>
          <w:iCs/>
          <w:color w:val="auto"/>
          <w:kern w:val="0"/>
          <w:sz w:val="28"/>
          <w:szCs w:val="28"/>
        </w:rPr>
        <w:t>所要求的全部文档。</w:t>
      </w:r>
    </w:p>
    <w:p>
      <w:pPr>
        <w:pStyle w:val="3"/>
        <w:widowControl/>
        <w:ind w:left="0" w:firstLine="0"/>
        <w:jc w:val="left"/>
        <w:rPr>
          <w:color w:val="auto"/>
        </w:rPr>
      </w:pPr>
      <w:r>
        <w:rPr>
          <w:color w:val="auto"/>
        </w:rPr>
        <w:t>其他要求</w:t>
      </w:r>
    </w:p>
    <w:p>
      <w:pPr>
        <w:pStyle w:val="5"/>
        <w:widowControl/>
        <w:ind w:left="0" w:firstLine="0"/>
        <w:jc w:val="left"/>
        <w:rPr>
          <w:rFonts w:hint="eastAsia"/>
          <w:color w:val="auto"/>
        </w:rPr>
      </w:pPr>
      <w:r>
        <w:rPr>
          <w:color w:val="auto"/>
        </w:rPr>
        <w:t>服务响应要求</w:t>
      </w:r>
    </w:p>
    <w:p>
      <w:pPr>
        <w:widowControl/>
        <w:ind w:firstLine="560" w:firstLineChars="200"/>
        <w:jc w:val="both"/>
        <w:rPr>
          <w:rFonts w:ascii="Times New Roman" w:hAnsi="Times New Roman" w:eastAsia="等线" w:cs="宋体"/>
          <w:color w:val="auto"/>
          <w:kern w:val="0"/>
          <w:sz w:val="24"/>
        </w:rPr>
      </w:pPr>
      <w:r>
        <w:rPr>
          <w:rFonts w:hint="eastAsia" w:ascii="宋体" w:hAnsi="宋体" w:eastAsia="仿宋_GB2312" w:cs="宋体"/>
          <w:color w:val="auto"/>
          <w:kern w:val="0"/>
          <w:sz w:val="28"/>
          <w:szCs w:val="28"/>
        </w:rPr>
        <w:t>服务响应可通过现场、远程等方式提供，由此产生的一切费用均由中标人承担。</w:t>
      </w:r>
    </w:p>
    <w:p>
      <w:pPr>
        <w:pStyle w:val="5"/>
        <w:widowControl/>
        <w:ind w:left="0" w:firstLine="0"/>
        <w:jc w:val="left"/>
        <w:rPr>
          <w:color w:val="auto"/>
        </w:rPr>
      </w:pPr>
      <w:r>
        <w:rPr>
          <w:color w:val="auto"/>
        </w:rPr>
        <w:t>资产权属</w:t>
      </w:r>
    </w:p>
    <w:p>
      <w:pPr>
        <w:pStyle w:val="4"/>
        <w:widowControl/>
        <w:ind w:firstLine="560"/>
        <w:jc w:val="left"/>
        <w:rPr>
          <w:color w:val="auto"/>
          <w:kern w:val="0"/>
        </w:rPr>
      </w:pPr>
      <w:r>
        <w:rPr>
          <w:color w:val="auto"/>
          <w:kern w:val="0"/>
        </w:rPr>
        <w:t>1.本项目不会引起任何已申请、登记的知识产权所有权的转移。</w:t>
      </w:r>
    </w:p>
    <w:p>
      <w:pPr>
        <w:pStyle w:val="4"/>
        <w:widowControl/>
        <w:ind w:firstLine="560"/>
        <w:jc w:val="left"/>
        <w:rPr>
          <w:rFonts w:hint="eastAsia"/>
          <w:color w:val="auto"/>
          <w:kern w:val="0"/>
        </w:rPr>
      </w:pPr>
      <w:r>
        <w:rPr>
          <w:rFonts w:hint="eastAsia"/>
          <w:color w:val="auto"/>
          <w:kern w:val="0"/>
        </w:rPr>
        <w:t>2.中标人为履行本</w:t>
      </w:r>
      <w:r>
        <w:rPr>
          <w:rFonts w:hint="eastAsia"/>
          <w:color w:val="auto"/>
          <w:kern w:val="0"/>
          <w:lang w:val="en-US" w:eastAsia="zh-CN"/>
        </w:rPr>
        <w:t>项目</w:t>
      </w:r>
      <w:r>
        <w:rPr>
          <w:rFonts w:hint="eastAsia"/>
          <w:color w:val="auto"/>
          <w:kern w:val="0"/>
        </w:rPr>
        <w:t>义务所形成的服务成果的知识产权归采购人所有。</w:t>
      </w:r>
    </w:p>
    <w:p>
      <w:pPr>
        <w:pStyle w:val="4"/>
        <w:widowControl/>
        <w:ind w:firstLine="560"/>
        <w:jc w:val="left"/>
        <w:rPr>
          <w:rFonts w:hint="eastAsia"/>
          <w:color w:val="auto"/>
          <w:kern w:val="0"/>
        </w:rPr>
      </w:pPr>
      <w:r>
        <w:rPr>
          <w:rFonts w:hint="eastAsia"/>
          <w:color w:val="auto"/>
          <w:kern w:val="0"/>
        </w:rPr>
        <w:t>3.本</w:t>
      </w:r>
      <w:r>
        <w:rPr>
          <w:rFonts w:hint="eastAsia"/>
          <w:color w:val="auto"/>
          <w:kern w:val="0"/>
          <w:lang w:val="en-US" w:eastAsia="zh-CN"/>
        </w:rPr>
        <w:t>项目</w:t>
      </w:r>
      <w:r>
        <w:rPr>
          <w:rFonts w:hint="eastAsia"/>
          <w:color w:val="auto"/>
          <w:kern w:val="0"/>
        </w:rPr>
        <w:t>所涉及的数据所有权归</w:t>
      </w:r>
      <w:r>
        <w:rPr>
          <w:rFonts w:hint="eastAsia"/>
          <w:color w:val="auto"/>
          <w:kern w:val="0"/>
          <w:lang w:val="en-US" w:eastAsia="zh-CN"/>
        </w:rPr>
        <w:t>省科技厅</w:t>
      </w:r>
      <w:r>
        <w:rPr>
          <w:rFonts w:hint="eastAsia"/>
          <w:color w:val="auto"/>
          <w:kern w:val="0"/>
        </w:rPr>
        <w:t>所有。中标人只能用于履行本</w:t>
      </w:r>
      <w:r>
        <w:rPr>
          <w:rFonts w:hint="eastAsia"/>
          <w:color w:val="auto"/>
          <w:kern w:val="0"/>
          <w:lang w:val="en-US" w:eastAsia="zh-CN"/>
        </w:rPr>
        <w:t>项目</w:t>
      </w:r>
      <w:r>
        <w:rPr>
          <w:rFonts w:hint="eastAsia"/>
          <w:color w:val="auto"/>
          <w:kern w:val="0"/>
        </w:rPr>
        <w:t>之义务。</w:t>
      </w:r>
    </w:p>
    <w:p>
      <w:pPr>
        <w:pStyle w:val="4"/>
        <w:widowControl/>
        <w:ind w:firstLine="560"/>
        <w:jc w:val="left"/>
        <w:rPr>
          <w:color w:val="auto"/>
          <w:kern w:val="0"/>
        </w:rPr>
      </w:pPr>
      <w:r>
        <w:rPr>
          <w:rFonts w:hint="eastAsia"/>
          <w:color w:val="auto"/>
          <w:kern w:val="0"/>
          <w:lang w:val="en-US" w:eastAsia="zh-CN"/>
        </w:rPr>
        <w:t>4</w:t>
      </w:r>
      <w:r>
        <w:rPr>
          <w:rFonts w:hint="eastAsia"/>
          <w:color w:val="auto"/>
          <w:kern w:val="0"/>
        </w:rPr>
        <w:t>.中标人保证向采购人提供的服务成果是其独立实施完成，不存在任何侵犯第三方专利权、商标权、著作权等合法权益。如因中标人提供的服务成果侵犯任何第三方的合法权益，导致该第三方追究采购人责任的，中标人应负责解决并赔偿因此给采购人造成的全部损失</w:t>
      </w:r>
      <w:r>
        <w:rPr>
          <w:color w:val="auto"/>
          <w:kern w:val="0"/>
        </w:rPr>
        <w:t>。</w:t>
      </w:r>
    </w:p>
    <w:p>
      <w:pPr>
        <w:pStyle w:val="5"/>
        <w:widowControl/>
        <w:ind w:left="0" w:firstLine="0"/>
        <w:jc w:val="left"/>
        <w:rPr>
          <w:color w:val="auto"/>
        </w:rPr>
      </w:pPr>
      <w:r>
        <w:rPr>
          <w:color w:val="auto"/>
        </w:rPr>
        <w:t>保密要求</w:t>
      </w:r>
    </w:p>
    <w:p>
      <w:pPr>
        <w:pStyle w:val="4"/>
        <w:widowControl/>
        <w:ind w:firstLine="560"/>
        <w:jc w:val="left"/>
        <w:rPr>
          <w:color w:val="auto"/>
          <w:kern w:val="0"/>
        </w:rPr>
      </w:pPr>
      <w:r>
        <w:rPr>
          <w:color w:val="auto"/>
          <w:kern w:val="0"/>
        </w:rPr>
        <w:t>1.</w:t>
      </w:r>
      <w:r>
        <w:rPr>
          <w:rFonts w:hint="eastAsia"/>
          <w:color w:val="auto"/>
          <w:kern w:val="0"/>
        </w:rPr>
        <w:t>中标人</w:t>
      </w:r>
      <w:r>
        <w:rPr>
          <w:color w:val="auto"/>
          <w:kern w:val="0"/>
        </w:rPr>
        <w:t>应签订保密协议，对其因身份、职务、职业或技术关系而知悉的采购人商业秘密和党政机关保密信息应严格保守，保证不被披露或使用，包括意外或过失。</w:t>
      </w:r>
    </w:p>
    <w:p>
      <w:pPr>
        <w:pStyle w:val="4"/>
        <w:widowControl/>
        <w:ind w:firstLine="560"/>
        <w:jc w:val="left"/>
        <w:rPr>
          <w:color w:val="auto"/>
          <w:kern w:val="0"/>
        </w:rPr>
      </w:pPr>
      <w:r>
        <w:rPr>
          <w:color w:val="auto"/>
          <w:kern w:val="0"/>
        </w:rPr>
        <w:t>2.</w:t>
      </w:r>
      <w:r>
        <w:rPr>
          <w:rFonts w:hint="eastAsia"/>
          <w:color w:val="auto"/>
          <w:kern w:val="0"/>
        </w:rPr>
        <w:t>中标人</w:t>
      </w:r>
      <w:r>
        <w:rPr>
          <w:color w:val="auto"/>
          <w:kern w:val="0"/>
        </w:rPr>
        <w:t>不得以竞争为目的、或出于私利、或为第三人谋利而擅自保存、披露、使用采购人商业秘密和党政机关保密信息；不得直接或间接地向无关人员泄露采购人的商业秘密和党政机关保密信息；不得向不承担保密义务的任何第三人披露采购人的商业秘密和党政机关保密信息。</w:t>
      </w:r>
      <w:r>
        <w:rPr>
          <w:rFonts w:hint="eastAsia"/>
          <w:color w:val="auto"/>
          <w:kern w:val="0"/>
        </w:rPr>
        <w:t>中标人</w:t>
      </w:r>
      <w:r>
        <w:rPr>
          <w:color w:val="auto"/>
          <w:kern w:val="0"/>
        </w:rPr>
        <w:t>在从事政府项目时，不得擅自记录、复制、拍摄、摘抄、收藏在工作中涉及的保密信息，严禁将涉及政府项目的任何资料、数据透露或以其他方式提供给项目以外的其他方或</w:t>
      </w:r>
      <w:r>
        <w:rPr>
          <w:rFonts w:hint="eastAsia"/>
          <w:color w:val="auto"/>
          <w:kern w:val="0"/>
        </w:rPr>
        <w:t>中标人</w:t>
      </w:r>
      <w:r>
        <w:rPr>
          <w:color w:val="auto"/>
          <w:kern w:val="0"/>
        </w:rPr>
        <w:t xml:space="preserve">内部与该项目无关的任何人员。 </w:t>
      </w:r>
    </w:p>
    <w:p>
      <w:pPr>
        <w:pStyle w:val="4"/>
        <w:widowControl/>
        <w:ind w:firstLine="560"/>
        <w:jc w:val="left"/>
        <w:rPr>
          <w:color w:val="auto"/>
          <w:kern w:val="0"/>
        </w:rPr>
      </w:pPr>
      <w:r>
        <w:rPr>
          <w:color w:val="auto"/>
          <w:kern w:val="0"/>
        </w:rPr>
        <w:t>3.</w:t>
      </w:r>
      <w:r>
        <w:rPr>
          <w:rFonts w:hint="eastAsia"/>
          <w:color w:val="auto"/>
          <w:kern w:val="0"/>
        </w:rPr>
        <w:t>中标人</w:t>
      </w:r>
      <w:r>
        <w:rPr>
          <w:color w:val="auto"/>
          <w:kern w:val="0"/>
        </w:rPr>
        <w:t xml:space="preserve">对于工作期间知悉采购人的商业秘密和党政机关保密信息（包括业务信息在内）或工作过程中接触到的政府机关文件（包括内部发文、各类通知及会议记录等）的内容，同样承担保密责任，严禁将政府机关内部会议、谈话内容泄露给无关人员；不得翻阅与工作无关的文件和资料。 </w:t>
      </w:r>
    </w:p>
    <w:p>
      <w:pPr>
        <w:pStyle w:val="4"/>
        <w:widowControl/>
        <w:ind w:firstLine="560"/>
        <w:jc w:val="left"/>
        <w:rPr>
          <w:color w:val="auto"/>
          <w:kern w:val="0"/>
        </w:rPr>
      </w:pPr>
      <w:r>
        <w:rPr>
          <w:color w:val="auto"/>
          <w:kern w:val="0"/>
        </w:rPr>
        <w:t xml:space="preserve">4.严禁泄露在工作中接触到的政府机关科技研究、发明、装备器材及其技术资料和政府工作信息。 </w:t>
      </w:r>
    </w:p>
    <w:p>
      <w:pPr>
        <w:pStyle w:val="2"/>
        <w:ind w:left="0" w:firstLine="0"/>
        <w:rPr>
          <w:color w:val="auto"/>
        </w:rPr>
      </w:pPr>
      <w:r>
        <w:rPr>
          <w:color w:val="auto"/>
        </w:rPr>
        <w:t>付款方式</w:t>
      </w:r>
    </w:p>
    <w:p>
      <w:pPr>
        <w:pStyle w:val="4"/>
        <w:widowControl/>
        <w:ind w:firstLine="560"/>
        <w:jc w:val="left"/>
        <w:rPr>
          <w:color w:val="auto"/>
          <w:kern w:val="0"/>
        </w:rPr>
      </w:pPr>
      <w:r>
        <w:rPr>
          <w:color w:val="auto"/>
          <w:kern w:val="0"/>
        </w:rPr>
        <w:t>本项目分</w:t>
      </w:r>
      <w:r>
        <w:rPr>
          <w:rFonts w:hint="eastAsia"/>
          <w:color w:val="auto"/>
          <w:kern w:val="0"/>
        </w:rPr>
        <w:t>别按</w:t>
      </w:r>
      <w:r>
        <w:rPr>
          <w:color w:val="auto"/>
          <w:kern w:val="0"/>
          <w:u w:val="single"/>
        </w:rPr>
        <w:t>2</w:t>
      </w:r>
      <w:r>
        <w:rPr>
          <w:color w:val="auto"/>
          <w:kern w:val="0"/>
        </w:rPr>
        <w:t>期支付，具体</w:t>
      </w:r>
      <w:r>
        <w:rPr>
          <w:rFonts w:hint="eastAsia"/>
          <w:color w:val="auto"/>
          <w:kern w:val="0"/>
        </w:rPr>
        <w:t>以合同约定的为准。</w:t>
      </w:r>
      <w:r>
        <w:rPr>
          <w:color w:val="auto"/>
          <w:kern w:val="0"/>
        </w:rPr>
        <w:t>支付方式和时间如下：</w:t>
      </w:r>
    </w:p>
    <w:p>
      <w:pPr>
        <w:pStyle w:val="4"/>
        <w:widowControl/>
        <w:ind w:firstLine="560"/>
        <w:jc w:val="left"/>
        <w:rPr>
          <w:rFonts w:hint="eastAsia"/>
          <w:color w:val="auto"/>
          <w:kern w:val="0"/>
        </w:rPr>
      </w:pPr>
      <w:r>
        <w:rPr>
          <w:color w:val="auto"/>
          <w:kern w:val="0"/>
        </w:rPr>
        <w:t>首期款：签订合同后</w:t>
      </w:r>
      <w:bookmarkStart w:id="0" w:name="_Hlk7423949"/>
      <w:r>
        <w:rPr>
          <w:color w:val="auto"/>
          <w:kern w:val="0"/>
          <w:u w:val="single"/>
        </w:rPr>
        <w:t>15</w:t>
      </w:r>
      <w:r>
        <w:rPr>
          <w:color w:val="auto"/>
          <w:kern w:val="0"/>
        </w:rPr>
        <w:t>个工作日内</w:t>
      </w:r>
      <w:bookmarkEnd w:id="0"/>
      <w:r>
        <w:rPr>
          <w:color w:val="auto"/>
          <w:kern w:val="0"/>
        </w:rPr>
        <w:t>，中标人书面提出支付申请函及拟支付金额等额的符合</w:t>
      </w:r>
      <w:r>
        <w:rPr>
          <w:rFonts w:hint="eastAsia"/>
          <w:color w:val="auto"/>
          <w:kern w:val="0"/>
        </w:rPr>
        <w:t>采购人</w:t>
      </w:r>
      <w:r>
        <w:rPr>
          <w:color w:val="auto"/>
          <w:kern w:val="0"/>
        </w:rPr>
        <w:t>财务管理要求的相应发票，</w:t>
      </w:r>
      <w:r>
        <w:rPr>
          <w:rFonts w:hint="eastAsia"/>
          <w:color w:val="auto"/>
          <w:kern w:val="0"/>
        </w:rPr>
        <w:t>采购人</w:t>
      </w:r>
      <w:r>
        <w:rPr>
          <w:color w:val="auto"/>
          <w:kern w:val="0"/>
        </w:rPr>
        <w:t>确认后启动首期款支付流程，</w:t>
      </w:r>
      <w:r>
        <w:rPr>
          <w:rFonts w:hint="eastAsia"/>
          <w:color w:val="auto"/>
          <w:kern w:val="0"/>
          <w:lang w:val="en-US" w:eastAsia="zh-CN"/>
        </w:rPr>
        <w:t>支付</w:t>
      </w:r>
      <w:r>
        <w:rPr>
          <w:rFonts w:hint="eastAsia"/>
          <w:color w:val="auto"/>
          <w:kern w:val="0"/>
        </w:rPr>
        <w:t>约占合同总金额</w:t>
      </w:r>
      <w:r>
        <w:rPr>
          <w:rFonts w:hint="eastAsia"/>
          <w:color w:val="auto"/>
          <w:kern w:val="0"/>
          <w:lang w:val="en-US" w:eastAsia="zh-CN"/>
        </w:rPr>
        <w:t>3</w:t>
      </w:r>
      <w:r>
        <w:rPr>
          <w:color w:val="auto"/>
          <w:kern w:val="0"/>
        </w:rPr>
        <w:t>0%</w:t>
      </w:r>
      <w:r>
        <w:rPr>
          <w:rFonts w:hint="eastAsia"/>
          <w:color w:val="auto"/>
          <w:kern w:val="0"/>
        </w:rPr>
        <w:t>。</w:t>
      </w:r>
    </w:p>
    <w:p>
      <w:pPr>
        <w:pStyle w:val="4"/>
        <w:widowControl/>
        <w:ind w:firstLine="560"/>
        <w:jc w:val="left"/>
        <w:rPr>
          <w:color w:val="auto"/>
          <w:kern w:val="0"/>
        </w:rPr>
      </w:pPr>
      <w:r>
        <w:rPr>
          <w:color w:val="auto"/>
          <w:kern w:val="0"/>
        </w:rPr>
        <w:t>尾款：</w:t>
      </w:r>
      <w:r>
        <w:rPr>
          <w:rFonts w:hint="eastAsia"/>
          <w:color w:val="auto"/>
          <w:kern w:val="0"/>
        </w:rPr>
        <w:t>本</w:t>
      </w:r>
      <w:r>
        <w:rPr>
          <w:color w:val="auto"/>
          <w:kern w:val="0"/>
        </w:rPr>
        <w:t>项目</w:t>
      </w:r>
      <w:r>
        <w:rPr>
          <w:rFonts w:hint="eastAsia"/>
          <w:color w:val="auto"/>
          <w:kern w:val="0"/>
        </w:rPr>
        <w:t>通过采购人最终</w:t>
      </w:r>
      <w:r>
        <w:rPr>
          <w:color w:val="auto"/>
          <w:kern w:val="0"/>
        </w:rPr>
        <w:t>验收后</w:t>
      </w:r>
      <w:r>
        <w:rPr>
          <w:color w:val="auto"/>
          <w:kern w:val="0"/>
          <w:u w:val="single"/>
        </w:rPr>
        <w:t>15</w:t>
      </w:r>
      <w:r>
        <w:rPr>
          <w:color w:val="auto"/>
          <w:kern w:val="0"/>
        </w:rPr>
        <w:t>个工作日内，中标人书面提出支付申请函及拟支付金额等额的符合</w:t>
      </w:r>
      <w:r>
        <w:rPr>
          <w:rFonts w:hint="eastAsia"/>
          <w:color w:val="auto"/>
          <w:kern w:val="0"/>
        </w:rPr>
        <w:t>采购人</w:t>
      </w:r>
      <w:r>
        <w:rPr>
          <w:color w:val="auto"/>
          <w:kern w:val="0"/>
        </w:rPr>
        <w:t>财务管理要求的相应发票，</w:t>
      </w:r>
      <w:r>
        <w:rPr>
          <w:rFonts w:hint="eastAsia"/>
          <w:color w:val="auto"/>
          <w:kern w:val="0"/>
        </w:rPr>
        <w:t>采购人</w:t>
      </w:r>
      <w:r>
        <w:rPr>
          <w:color w:val="auto"/>
          <w:kern w:val="0"/>
        </w:rPr>
        <w:t>确认后启动尾款支付流程，</w:t>
      </w:r>
      <w:r>
        <w:rPr>
          <w:rFonts w:hint="eastAsia"/>
          <w:color w:val="auto"/>
          <w:kern w:val="0"/>
          <w:lang w:val="en-US" w:eastAsia="zh-CN"/>
        </w:rPr>
        <w:t>支付</w:t>
      </w:r>
      <w:r>
        <w:rPr>
          <w:rFonts w:hint="eastAsia"/>
          <w:color w:val="auto"/>
          <w:kern w:val="0"/>
        </w:rPr>
        <w:t>约占合同总金额的</w:t>
      </w:r>
      <w:r>
        <w:rPr>
          <w:rFonts w:hint="eastAsia"/>
          <w:color w:val="auto"/>
          <w:kern w:val="0"/>
          <w:lang w:val="en-US" w:eastAsia="zh-CN"/>
        </w:rPr>
        <w:t>7</w:t>
      </w:r>
      <w:r>
        <w:rPr>
          <w:color w:val="auto"/>
          <w:kern w:val="0"/>
        </w:rPr>
        <w:t>0%</w:t>
      </w:r>
      <w:r>
        <w:rPr>
          <w:rFonts w:hint="eastAsia"/>
          <w:color w:val="auto"/>
          <w:kern w:val="0"/>
        </w:rPr>
        <w:t>。</w:t>
      </w:r>
    </w:p>
    <w:p>
      <w:pPr>
        <w:pStyle w:val="4"/>
        <w:widowControl/>
        <w:ind w:firstLine="560"/>
        <w:jc w:val="left"/>
        <w:rPr>
          <w:color w:val="auto"/>
          <w:kern w:val="0"/>
        </w:rPr>
      </w:pPr>
      <w:r>
        <w:rPr>
          <w:rFonts w:hint="eastAsia"/>
          <w:color w:val="auto"/>
          <w:kern w:val="0"/>
        </w:rPr>
        <w:t>项目实际支付总金额按采购成交总金额计算，项目支付计划按合同约定执行，对于满足合同约定支付条件的，采购人应当自收到发票后</w:t>
      </w:r>
      <w:r>
        <w:rPr>
          <w:color w:val="auto"/>
          <w:kern w:val="0"/>
        </w:rPr>
        <w:t>15日内将资金支付到合同约定的中标人账户，不得以机构变动、人员更替、政策调整等为由延迟付款，不得将采购文件和合同中未规定的义务作为向中标人付款的条件。</w:t>
      </w:r>
      <w:r>
        <w:rPr>
          <w:rFonts w:hint="eastAsia"/>
          <w:color w:val="auto"/>
          <w:kern w:val="0"/>
        </w:rPr>
        <w:t>甲方支付时间以向相关财政部门提出支付申请时间为准。</w:t>
      </w:r>
    </w:p>
    <w:p>
      <w:pPr>
        <w:widowControl/>
        <w:ind w:firstLine="560" w:firstLineChars="200"/>
        <w:jc w:val="left"/>
        <w:rPr>
          <w:rFonts w:hint="eastAsia" w:ascii="宋体" w:hAnsi="宋体" w:eastAsia="仿宋_GB2312" w:cs="宋体"/>
          <w:iCs/>
          <w:color w:val="auto"/>
          <w:kern w:val="0"/>
          <w:sz w:val="28"/>
          <w:szCs w:val="28"/>
          <w:lang w:val="en-US" w:eastAsia="zh-CN"/>
        </w:rPr>
      </w:pPr>
      <w:r>
        <w:rPr>
          <w:rFonts w:hint="eastAsia" w:ascii="宋体" w:hAnsi="宋体" w:eastAsia="仿宋_GB2312" w:cs="宋体"/>
          <w:iCs/>
          <w:color w:val="auto"/>
          <w:kern w:val="0"/>
          <w:sz w:val="28"/>
          <w:szCs w:val="28"/>
          <w:lang w:val="en-US" w:eastAsia="zh-CN"/>
        </w:rPr>
        <w:t>本项目为2024年度政务信息化项目，预算分2期安排。如因政府财政部门审查、财政支付管理流程及预算下达导致支付延期，支付期限相应顺延；如因政府财政部门审查、财政支付管理流程及预算下达导致预算核减，支付总金额相应核减至与预算金额下达一致的，采购人不承担违约的不利后果，中标人不得以此为由迟延履行或不履行合同义务。</w:t>
      </w:r>
    </w:p>
    <w:p>
      <w:pPr>
        <w:pStyle w:val="15"/>
        <w:widowControl/>
        <w:ind w:left="425" w:hanging="425" w:firstLineChars="0"/>
        <w:rPr>
          <w:rFonts w:hint="default"/>
          <w:color w:val="auto"/>
          <w:kern w:val="0"/>
          <w:lang w:val="en-US" w:eastAsia="zh-CN"/>
        </w:rPr>
      </w:pPr>
      <w:r>
        <w:rPr>
          <w:rFonts w:hint="eastAsia"/>
          <w:color w:val="auto"/>
          <w:kern w:val="0"/>
          <w:lang w:val="en-US" w:eastAsia="zh-CN"/>
        </w:rPr>
        <w:t>评审标准</w:t>
      </w:r>
    </w:p>
    <w:p>
      <w:pPr>
        <w:widowControl/>
        <w:spacing w:line="240" w:lineRule="auto"/>
        <w:ind w:firstLine="560" w:firstLineChars="200"/>
        <w:jc w:val="left"/>
        <w:rPr>
          <w:rFonts w:hint="eastAsia" w:ascii="Times New Roman" w:hAnsi="Times New Roman" w:eastAsia="仿宋_GB2312" w:cs="Times New Roman"/>
          <w:iCs/>
          <w:color w:val="auto"/>
          <w:kern w:val="0"/>
          <w:sz w:val="28"/>
          <w:szCs w:val="28"/>
          <w:highlight w:val="none"/>
          <w:lang w:val="en-US" w:eastAsia="zh-CN"/>
        </w:rPr>
      </w:pPr>
      <w:r>
        <w:rPr>
          <w:rFonts w:hint="eastAsia" w:ascii="Times New Roman" w:hAnsi="Times New Roman" w:eastAsia="仿宋_GB2312" w:cs="Times New Roman"/>
          <w:iCs/>
          <w:color w:val="auto"/>
          <w:kern w:val="0"/>
          <w:sz w:val="28"/>
          <w:szCs w:val="28"/>
          <w:highlight w:val="none"/>
          <w:lang w:val="en-US" w:eastAsia="zh-CN"/>
        </w:rPr>
        <w:t>本项目供应商评选，采用</w:t>
      </w:r>
      <w:r>
        <w:rPr>
          <w:rFonts w:hint="eastAsia" w:ascii="Times New Roman" w:hAnsi="Times New Roman" w:eastAsia="仿宋_GB2312" w:cs="Times New Roman"/>
          <w:iCs/>
          <w:color w:val="auto"/>
          <w:kern w:val="0"/>
          <w:sz w:val="28"/>
          <w:szCs w:val="28"/>
          <w:highlight w:val="none"/>
        </w:rPr>
        <w:t>综合评分法</w:t>
      </w:r>
      <w:r>
        <w:rPr>
          <w:rFonts w:hint="eastAsia" w:ascii="Times New Roman" w:hAnsi="Times New Roman" w:eastAsia="仿宋_GB2312" w:cs="Times New Roman"/>
          <w:iCs/>
          <w:color w:val="auto"/>
          <w:kern w:val="0"/>
          <w:sz w:val="28"/>
          <w:szCs w:val="28"/>
          <w:highlight w:val="none"/>
          <w:lang w:eastAsia="zh-CN"/>
        </w:rPr>
        <w:t>，</w:t>
      </w:r>
      <w:r>
        <w:rPr>
          <w:rFonts w:hint="eastAsia" w:ascii="Times New Roman" w:hAnsi="Times New Roman" w:eastAsia="仿宋_GB2312" w:cs="Times New Roman"/>
          <w:iCs/>
          <w:color w:val="auto"/>
          <w:kern w:val="0"/>
          <w:sz w:val="28"/>
          <w:szCs w:val="28"/>
          <w:highlight w:val="none"/>
        </w:rPr>
        <w:t>遵循公平、公正、科学和择优的原则，以</w:t>
      </w:r>
      <w:r>
        <w:rPr>
          <w:rFonts w:hint="eastAsia" w:ascii="Times New Roman" w:hAnsi="Times New Roman" w:eastAsia="仿宋_GB2312" w:cs="Times New Roman"/>
          <w:iCs/>
          <w:color w:val="auto"/>
          <w:kern w:val="0"/>
          <w:sz w:val="28"/>
          <w:szCs w:val="28"/>
          <w:highlight w:val="none"/>
          <w:lang w:val="en-US" w:eastAsia="zh-CN"/>
        </w:rPr>
        <w:t>项目采购需求文件</w:t>
      </w:r>
      <w:r>
        <w:rPr>
          <w:rFonts w:hint="eastAsia" w:ascii="Times New Roman" w:hAnsi="Times New Roman" w:eastAsia="仿宋_GB2312" w:cs="Times New Roman"/>
          <w:iCs/>
          <w:color w:val="auto"/>
          <w:kern w:val="0"/>
          <w:sz w:val="28"/>
          <w:szCs w:val="28"/>
          <w:highlight w:val="none"/>
        </w:rPr>
        <w:t>和</w:t>
      </w:r>
      <w:r>
        <w:rPr>
          <w:rFonts w:hint="eastAsia" w:ascii="Times New Roman" w:hAnsi="Times New Roman" w:eastAsia="仿宋_GB2312" w:cs="Times New Roman"/>
          <w:iCs/>
          <w:color w:val="auto"/>
          <w:kern w:val="0"/>
          <w:sz w:val="28"/>
          <w:szCs w:val="28"/>
          <w:highlight w:val="none"/>
          <w:lang w:val="en-US" w:eastAsia="zh-CN"/>
        </w:rPr>
        <w:t>供应商响应</w:t>
      </w:r>
      <w:r>
        <w:rPr>
          <w:rFonts w:hint="eastAsia" w:ascii="Times New Roman" w:hAnsi="Times New Roman" w:eastAsia="仿宋_GB2312" w:cs="Times New Roman"/>
          <w:iCs/>
          <w:color w:val="auto"/>
          <w:kern w:val="0"/>
          <w:sz w:val="28"/>
          <w:szCs w:val="28"/>
          <w:highlight w:val="none"/>
        </w:rPr>
        <w:t>文件为评</w:t>
      </w:r>
      <w:r>
        <w:rPr>
          <w:rFonts w:hint="eastAsia" w:ascii="Times New Roman" w:hAnsi="Times New Roman" w:eastAsia="仿宋_GB2312" w:cs="Times New Roman"/>
          <w:iCs/>
          <w:color w:val="auto"/>
          <w:kern w:val="0"/>
          <w:sz w:val="28"/>
          <w:szCs w:val="28"/>
          <w:highlight w:val="none"/>
          <w:lang w:val="en-US" w:eastAsia="zh-CN"/>
        </w:rPr>
        <w:t>审</w:t>
      </w:r>
      <w:r>
        <w:rPr>
          <w:rFonts w:hint="eastAsia" w:ascii="Times New Roman" w:hAnsi="Times New Roman" w:eastAsia="仿宋_GB2312" w:cs="Times New Roman"/>
          <w:iCs/>
          <w:color w:val="auto"/>
          <w:kern w:val="0"/>
          <w:sz w:val="28"/>
          <w:szCs w:val="28"/>
          <w:highlight w:val="none"/>
        </w:rPr>
        <w:t>的基本依据。</w:t>
      </w:r>
      <w:r>
        <w:rPr>
          <w:rFonts w:hint="eastAsia" w:ascii="Times New Roman" w:hAnsi="Times New Roman" w:eastAsia="仿宋_GB2312" w:cs="Times New Roman"/>
          <w:iCs/>
          <w:color w:val="auto"/>
          <w:kern w:val="0"/>
          <w:sz w:val="28"/>
          <w:szCs w:val="28"/>
          <w:highlight w:val="none"/>
          <w:lang w:val="en-US" w:eastAsia="zh-CN"/>
        </w:rPr>
        <w:t>具体评审标准见下表：</w:t>
      </w:r>
    </w:p>
    <w:p>
      <w:pPr>
        <w:widowControl/>
        <w:spacing w:line="240" w:lineRule="auto"/>
        <w:ind w:firstLine="560" w:firstLineChars="200"/>
        <w:jc w:val="left"/>
        <w:rPr>
          <w:rFonts w:hint="eastAsia" w:ascii="Times New Roman" w:hAnsi="Times New Roman" w:eastAsia="仿宋_GB2312" w:cs="Times New Roman"/>
          <w:b w:val="0"/>
          <w:bCs w:val="0"/>
          <w:iCs/>
          <w:color w:val="auto"/>
          <w:kern w:val="0"/>
          <w:sz w:val="28"/>
          <w:szCs w:val="28"/>
          <w:highlight w:val="none"/>
        </w:rPr>
      </w:pPr>
      <w:r>
        <w:rPr>
          <w:rFonts w:hint="eastAsia" w:ascii="Times New Roman" w:hAnsi="Times New Roman" w:eastAsia="仿宋_GB2312" w:cs="Times New Roman"/>
          <w:b w:val="0"/>
          <w:bCs w:val="0"/>
          <w:iCs/>
          <w:color w:val="auto"/>
          <w:kern w:val="0"/>
          <w:sz w:val="28"/>
          <w:szCs w:val="28"/>
          <w:highlight w:val="none"/>
        </w:rPr>
        <w:t>表一</w:t>
      </w:r>
      <w:r>
        <w:rPr>
          <w:rFonts w:hint="eastAsia" w:ascii="Times New Roman" w:hAnsi="Times New Roman" w:eastAsia="仿宋_GB2312" w:cs="Times New Roman"/>
          <w:b w:val="0"/>
          <w:bCs w:val="0"/>
          <w:iCs/>
          <w:color w:val="auto"/>
          <w:kern w:val="0"/>
          <w:sz w:val="28"/>
          <w:szCs w:val="28"/>
          <w:highlight w:val="none"/>
          <w:lang w:val="en-US" w:eastAsia="zh-CN"/>
        </w:rPr>
        <w:t xml:space="preserve"> </w:t>
      </w:r>
      <w:r>
        <w:rPr>
          <w:rFonts w:hint="eastAsia" w:ascii="Times New Roman" w:hAnsi="Times New Roman" w:eastAsia="仿宋_GB2312" w:cs="Times New Roman"/>
          <w:b w:val="0"/>
          <w:bCs w:val="0"/>
          <w:iCs/>
          <w:color w:val="auto"/>
          <w:kern w:val="0"/>
          <w:sz w:val="28"/>
          <w:szCs w:val="28"/>
          <w:highlight w:val="none"/>
        </w:rPr>
        <w:t>资格性审查表</w:t>
      </w:r>
      <w:r>
        <w:rPr>
          <w:rFonts w:hint="eastAsia" w:ascii="Times New Roman" w:hAnsi="Times New Roman" w:eastAsia="仿宋_GB2312" w:cs="Times New Roman"/>
          <w:b w:val="0"/>
          <w:bCs w:val="0"/>
          <w:iCs/>
          <w:color w:val="auto"/>
          <w:kern w:val="0"/>
          <w:sz w:val="28"/>
          <w:szCs w:val="28"/>
          <w:highlight w:val="none"/>
          <w:lang w:eastAsia="zh-CN"/>
        </w:rPr>
        <w:t>：</w:t>
      </w:r>
    </w:p>
    <w:tbl>
      <w:tblPr>
        <w:tblStyle w:val="12"/>
        <w:tblW w:w="909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05"/>
        <w:gridCol w:w="2211"/>
        <w:gridCol w:w="608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4" w:hRule="atLeast"/>
          <w:jc w:val="center"/>
        </w:trPr>
        <w:tc>
          <w:tcPr>
            <w:tcW w:w="805" w:type="dxa"/>
            <w:noWrap w:val="0"/>
            <w:vAlign w:val="center"/>
          </w:tcPr>
          <w:p>
            <w:pPr>
              <w:widowControl/>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序号</w:t>
            </w:r>
          </w:p>
        </w:tc>
        <w:tc>
          <w:tcPr>
            <w:tcW w:w="8294" w:type="dxa"/>
            <w:gridSpan w:val="2"/>
            <w:noWrap w:val="0"/>
            <w:vAlign w:val="center"/>
          </w:tcPr>
          <w:p>
            <w:pPr>
              <w:widowControl/>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资格审查内容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713" w:hRule="atLeast"/>
          <w:jc w:val="center"/>
        </w:trPr>
        <w:tc>
          <w:tcPr>
            <w:tcW w:w="805" w:type="dxa"/>
            <w:noWrap w:val="0"/>
            <w:vAlign w:val="center"/>
          </w:tcPr>
          <w:p>
            <w:pPr>
              <w:widowControl/>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w:t>
            </w:r>
          </w:p>
        </w:tc>
        <w:tc>
          <w:tcPr>
            <w:tcW w:w="2211" w:type="dxa"/>
            <w:noWrap w:val="0"/>
            <w:vAlign w:val="center"/>
          </w:tcPr>
          <w:p>
            <w:pPr>
              <w:pageBreakBefore w:val="0"/>
              <w:widowControl w:val="0"/>
              <w:kinsoku/>
              <w:overflowPunct/>
              <w:topLinePunct w:val="0"/>
              <w:autoSpaceDE/>
              <w:autoSpaceDN/>
              <w:bidi w:val="0"/>
              <w:adjustRightInd/>
              <w:spacing w:line="400" w:lineRule="exact"/>
              <w:jc w:val="center"/>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1"/>
                <w:szCs w:val="21"/>
                <w:highlight w:val="none"/>
                <w:lang w:eastAsia="zh-CN"/>
              </w:rPr>
              <w:t>具有独立承担民事责任的能力</w:t>
            </w:r>
          </w:p>
        </w:tc>
        <w:tc>
          <w:tcPr>
            <w:tcW w:w="6083" w:type="dxa"/>
            <w:noWrap w:val="0"/>
            <w:vAlign w:val="center"/>
          </w:tcPr>
          <w:p>
            <w:pPr>
              <w:widowControl/>
              <w:spacing w:line="360" w:lineRule="auto"/>
              <w:jc w:val="both"/>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提供在中华人民共和国境内注册的法人或其他组织的营业执照或事业单位法人证书或社会团体法人登记证书复印件，如</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为自然人的提供自然人身份证明复印件；如国家另有规定的，则从其规定。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14" w:hRule="atLeast"/>
          <w:jc w:val="center"/>
        </w:trPr>
        <w:tc>
          <w:tcPr>
            <w:tcW w:w="805" w:type="dxa"/>
            <w:noWrap w:val="0"/>
            <w:vAlign w:val="center"/>
          </w:tcPr>
          <w:p>
            <w:pPr>
              <w:widowControl/>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w:t>
            </w:r>
          </w:p>
        </w:tc>
        <w:tc>
          <w:tcPr>
            <w:tcW w:w="2211" w:type="dxa"/>
            <w:noWrap w:val="0"/>
            <w:vAlign w:val="center"/>
          </w:tcPr>
          <w:p>
            <w:pPr>
              <w:pageBreakBefore w:val="0"/>
              <w:widowControl w:val="0"/>
              <w:kinsoku/>
              <w:overflowPunct/>
              <w:topLinePunct w:val="0"/>
              <w:autoSpaceDE/>
              <w:autoSpaceDN/>
              <w:bidi w:val="0"/>
              <w:adjustRightInd/>
              <w:spacing w:line="400" w:lineRule="exact"/>
              <w:jc w:val="center"/>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1"/>
                <w:szCs w:val="21"/>
                <w:highlight w:val="none"/>
                <w:lang w:eastAsia="zh-CN"/>
              </w:rPr>
              <w:t>有依法缴纳税收和社会保障资金的良好记录</w:t>
            </w:r>
          </w:p>
        </w:tc>
        <w:tc>
          <w:tcPr>
            <w:tcW w:w="6083" w:type="dxa"/>
            <w:noWrap w:val="0"/>
            <w:vAlign w:val="center"/>
          </w:tcPr>
          <w:p>
            <w:pPr>
              <w:widowControl/>
              <w:spacing w:line="360" w:lineRule="auto"/>
              <w:jc w:val="both"/>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提供投标截止日前6个月内任意1个月依法缴纳税收和社会保障资金的相关材料。如依法免税或不需要缴纳社会保障资金的，提供相应证明材料。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09" w:hRule="atLeast"/>
          <w:jc w:val="center"/>
        </w:trPr>
        <w:tc>
          <w:tcPr>
            <w:tcW w:w="805" w:type="dxa"/>
            <w:noWrap w:val="0"/>
            <w:vAlign w:val="center"/>
          </w:tcPr>
          <w:p>
            <w:pPr>
              <w:widowControl/>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w:t>
            </w:r>
          </w:p>
        </w:tc>
        <w:tc>
          <w:tcPr>
            <w:tcW w:w="2211" w:type="dxa"/>
            <w:noWrap w:val="0"/>
            <w:vAlign w:val="center"/>
          </w:tcPr>
          <w:p>
            <w:pPr>
              <w:pageBreakBefore w:val="0"/>
              <w:widowControl w:val="0"/>
              <w:kinsoku/>
              <w:overflowPunct/>
              <w:topLinePunct w:val="0"/>
              <w:autoSpaceDE/>
              <w:autoSpaceDN/>
              <w:bidi w:val="0"/>
              <w:adjustRightInd/>
              <w:spacing w:line="400" w:lineRule="exact"/>
              <w:jc w:val="center"/>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1"/>
                <w:szCs w:val="21"/>
                <w:highlight w:val="none"/>
                <w:lang w:eastAsia="zh-CN"/>
              </w:rPr>
              <w:t>具有良好的商业信誉和健全的财务会计制度</w:t>
            </w:r>
          </w:p>
        </w:tc>
        <w:tc>
          <w:tcPr>
            <w:tcW w:w="6083" w:type="dxa"/>
            <w:noWrap w:val="0"/>
            <w:vAlign w:val="center"/>
          </w:tcPr>
          <w:p>
            <w:pPr>
              <w:widowControl/>
              <w:spacing w:line="360" w:lineRule="auto"/>
              <w:jc w:val="both"/>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提供2022年度财务状况报告或2023年至今任意1个月的财务状况报告复印件，或基本开户行出具的资信证明。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09" w:hRule="atLeast"/>
          <w:jc w:val="center"/>
        </w:trPr>
        <w:tc>
          <w:tcPr>
            <w:tcW w:w="805" w:type="dxa"/>
            <w:noWrap w:val="0"/>
            <w:vAlign w:val="center"/>
          </w:tcPr>
          <w:p>
            <w:pPr>
              <w:widowControl/>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w:t>
            </w:r>
          </w:p>
        </w:tc>
        <w:tc>
          <w:tcPr>
            <w:tcW w:w="2211" w:type="dxa"/>
            <w:noWrap w:val="0"/>
            <w:vAlign w:val="center"/>
          </w:tcPr>
          <w:p>
            <w:pPr>
              <w:pageBreakBefore w:val="0"/>
              <w:widowControl w:val="0"/>
              <w:kinsoku/>
              <w:overflowPunct/>
              <w:topLinePunct w:val="0"/>
              <w:autoSpaceDE/>
              <w:autoSpaceDN/>
              <w:bidi w:val="0"/>
              <w:adjustRightInd/>
              <w:spacing w:line="400" w:lineRule="exact"/>
              <w:jc w:val="center"/>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1"/>
                <w:szCs w:val="21"/>
                <w:highlight w:val="none"/>
                <w:lang w:eastAsia="zh-CN"/>
              </w:rPr>
              <w:t>履行合同所必需的设备和专业技术能力</w:t>
            </w:r>
          </w:p>
        </w:tc>
        <w:tc>
          <w:tcPr>
            <w:tcW w:w="6083" w:type="dxa"/>
            <w:noWrap w:val="0"/>
            <w:vAlign w:val="center"/>
          </w:tcPr>
          <w:p>
            <w:pPr>
              <w:widowControl/>
              <w:spacing w:line="360" w:lineRule="auto"/>
              <w:jc w:val="both"/>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提供承诺书（格式自拟）</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14" w:hRule="atLeast"/>
          <w:jc w:val="center"/>
        </w:trPr>
        <w:tc>
          <w:tcPr>
            <w:tcW w:w="805" w:type="dxa"/>
            <w:noWrap w:val="0"/>
            <w:vAlign w:val="center"/>
          </w:tcPr>
          <w:p>
            <w:pPr>
              <w:widowControl/>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5</w:t>
            </w:r>
          </w:p>
        </w:tc>
        <w:tc>
          <w:tcPr>
            <w:tcW w:w="2211" w:type="dxa"/>
            <w:noWrap w:val="0"/>
            <w:vAlign w:val="center"/>
          </w:tcPr>
          <w:p>
            <w:pPr>
              <w:widowControl/>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参加采购活动前3年内，在经营活动中没有重大违法记录</w:t>
            </w:r>
          </w:p>
        </w:tc>
        <w:tc>
          <w:tcPr>
            <w:tcW w:w="6083" w:type="dxa"/>
            <w:noWrap w:val="0"/>
            <w:vAlign w:val="top"/>
          </w:tcPr>
          <w:p>
            <w:pPr>
              <w:widowControl/>
              <w:spacing w:line="360" w:lineRule="auto"/>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en-US" w:eastAsia="zh-CN"/>
              </w:rPr>
              <w:t>提供相关证明材料</w:t>
            </w:r>
            <w:r>
              <w:rPr>
                <w:rFonts w:hint="eastAsia" w:ascii="宋体" w:hAnsi="宋体" w:eastAsia="宋体" w:cs="宋体"/>
                <w:color w:val="auto"/>
                <w:kern w:val="0"/>
                <w:sz w:val="24"/>
                <w:highlight w:val="none"/>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233" w:hRule="atLeast"/>
          <w:jc w:val="center"/>
        </w:trPr>
        <w:tc>
          <w:tcPr>
            <w:tcW w:w="805" w:type="dxa"/>
            <w:noWrap w:val="0"/>
            <w:vAlign w:val="center"/>
          </w:tcPr>
          <w:p>
            <w:pPr>
              <w:widowControl/>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6</w:t>
            </w:r>
          </w:p>
        </w:tc>
        <w:tc>
          <w:tcPr>
            <w:tcW w:w="2211" w:type="dxa"/>
            <w:noWrap w:val="0"/>
            <w:vAlign w:val="center"/>
          </w:tcPr>
          <w:p>
            <w:pPr>
              <w:widowControl/>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信用记录</w:t>
            </w:r>
          </w:p>
        </w:tc>
        <w:tc>
          <w:tcPr>
            <w:tcW w:w="6083" w:type="dxa"/>
            <w:noWrap w:val="0"/>
            <w:vAlign w:val="top"/>
          </w:tcPr>
          <w:p>
            <w:pPr>
              <w:widowControl/>
              <w:spacing w:line="360" w:lineRule="auto"/>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采购代理机构于投标（响应）截止时间当天在“信用中国”网站（www.creditchina.gov.cn）及中国政府采购网（http://www.ccgp.gov.cn/）查询结果为准，如相关失信记录已失效，供应商需提供相关证明资料）。</w:t>
            </w:r>
          </w:p>
        </w:tc>
      </w:tr>
    </w:tbl>
    <w:p>
      <w:pPr>
        <w:widowControl/>
        <w:spacing w:line="360" w:lineRule="auto"/>
        <w:ind w:firstLine="480"/>
        <w:jc w:val="left"/>
        <w:rPr>
          <w:rFonts w:hint="eastAsia" w:ascii="宋体" w:hAnsi="宋体" w:eastAsia="宋体" w:cs="宋体"/>
          <w:b w:val="0"/>
          <w:bCs w:val="0"/>
          <w:color w:val="auto"/>
          <w:kern w:val="0"/>
          <w:sz w:val="24"/>
          <w:highlight w:val="none"/>
          <w:lang w:val="en-US" w:eastAsia="zh-CN"/>
        </w:rPr>
      </w:pPr>
      <w:r>
        <w:rPr>
          <w:rFonts w:hint="eastAsia" w:ascii="宋体" w:hAnsi="宋体" w:eastAsia="宋体" w:cs="宋体"/>
          <w:b w:val="0"/>
          <w:bCs w:val="0"/>
          <w:color w:val="auto"/>
          <w:kern w:val="0"/>
          <w:sz w:val="24"/>
          <w:highlight w:val="none"/>
          <w:lang w:val="en-US" w:eastAsia="zh-CN"/>
        </w:rPr>
        <w:t>注：资格性审查未通过的，视为评审不通过。</w:t>
      </w:r>
    </w:p>
    <w:p>
      <w:pPr>
        <w:widowControl/>
        <w:spacing w:line="360" w:lineRule="auto"/>
        <w:ind w:firstLine="480"/>
        <w:jc w:val="left"/>
        <w:rPr>
          <w:rFonts w:hint="eastAsia" w:ascii="宋体" w:hAnsi="宋体" w:eastAsia="宋体" w:cs="宋体"/>
          <w:b w:val="0"/>
          <w:bCs w:val="0"/>
          <w:color w:val="auto"/>
          <w:kern w:val="0"/>
          <w:sz w:val="24"/>
          <w:highlight w:val="none"/>
          <w:lang w:val="en-US" w:eastAsia="zh-CN"/>
        </w:rPr>
      </w:pPr>
    </w:p>
    <w:p>
      <w:pPr>
        <w:widowControl/>
        <w:spacing w:line="240" w:lineRule="auto"/>
        <w:ind w:firstLine="562" w:firstLineChars="200"/>
        <w:jc w:val="left"/>
        <w:rPr>
          <w:rFonts w:hint="eastAsia" w:ascii="Times New Roman" w:hAnsi="Times New Roman" w:eastAsia="仿宋_GB2312" w:cs="Times New Roman"/>
          <w:iCs/>
          <w:color w:val="auto"/>
          <w:kern w:val="0"/>
          <w:sz w:val="28"/>
          <w:szCs w:val="28"/>
          <w:highlight w:val="none"/>
          <w:lang w:val="en-US" w:eastAsia="zh-CN"/>
        </w:rPr>
      </w:pPr>
      <w:r>
        <w:rPr>
          <w:rFonts w:hint="eastAsia" w:ascii="Times New Roman" w:hAnsi="Times New Roman" w:eastAsia="仿宋_GB2312" w:cs="Times New Roman"/>
          <w:b/>
          <w:bCs/>
          <w:iCs/>
          <w:color w:val="auto"/>
          <w:kern w:val="0"/>
          <w:sz w:val="28"/>
          <w:szCs w:val="28"/>
          <w:highlight w:val="none"/>
        </w:rPr>
        <w:t>表</w:t>
      </w:r>
      <w:r>
        <w:rPr>
          <w:rFonts w:hint="eastAsia" w:ascii="Times New Roman" w:hAnsi="Times New Roman" w:eastAsia="仿宋_GB2312" w:cs="Times New Roman"/>
          <w:b/>
          <w:bCs/>
          <w:iCs/>
          <w:color w:val="auto"/>
          <w:kern w:val="0"/>
          <w:sz w:val="28"/>
          <w:szCs w:val="28"/>
          <w:highlight w:val="none"/>
          <w:lang w:val="en-US" w:eastAsia="zh-CN"/>
        </w:rPr>
        <w:t>二 具体评审标准</w:t>
      </w:r>
      <w:r>
        <w:rPr>
          <w:rFonts w:hint="eastAsia" w:ascii="Times New Roman" w:hAnsi="Times New Roman" w:eastAsia="仿宋_GB2312" w:cs="Times New Roman"/>
          <w:b/>
          <w:bCs/>
          <w:iCs/>
          <w:color w:val="auto"/>
          <w:kern w:val="0"/>
          <w:sz w:val="28"/>
          <w:szCs w:val="28"/>
          <w:highlight w:val="none"/>
        </w:rPr>
        <w:t>表</w:t>
      </w:r>
      <w:r>
        <w:rPr>
          <w:rFonts w:hint="eastAsia" w:ascii="Times New Roman" w:hAnsi="Times New Roman" w:eastAsia="仿宋_GB2312" w:cs="Times New Roman"/>
          <w:b/>
          <w:bCs/>
          <w:iCs/>
          <w:color w:val="auto"/>
          <w:kern w:val="0"/>
          <w:sz w:val="28"/>
          <w:szCs w:val="28"/>
          <w:highlight w:val="none"/>
          <w:lang w:eastAsia="zh-CN"/>
        </w:rPr>
        <w:t>：</w:t>
      </w:r>
    </w:p>
    <w:tbl>
      <w:tblPr>
        <w:tblStyle w:val="12"/>
        <w:tblW w:w="9071"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26"/>
        <w:gridCol w:w="1576"/>
        <w:gridCol w:w="616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0" w:hRule="atLeast"/>
          <w:jc w:val="center"/>
        </w:trPr>
        <w:tc>
          <w:tcPr>
            <w:tcW w:w="1326" w:type="dxa"/>
            <w:noWrap w:val="0"/>
            <w:vAlign w:val="center"/>
          </w:tcPr>
          <w:p>
            <w:pPr>
              <w:widowControl/>
              <w:adjustRightInd w:val="0"/>
              <w:snapToGrid w:val="0"/>
              <w:spacing w:line="360" w:lineRule="auto"/>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评审因素</w:t>
            </w:r>
          </w:p>
        </w:tc>
        <w:tc>
          <w:tcPr>
            <w:tcW w:w="7745" w:type="dxa"/>
            <w:gridSpan w:val="2"/>
            <w:noWrap w:val="0"/>
            <w:vAlign w:val="top"/>
          </w:tcPr>
          <w:p>
            <w:pPr>
              <w:widowControl/>
              <w:adjustRightInd w:val="0"/>
              <w:snapToGrid w:val="0"/>
              <w:spacing w:line="360" w:lineRule="auto"/>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评审标准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326" w:type="dxa"/>
            <w:noWrap w:val="0"/>
            <w:vAlign w:val="center"/>
          </w:tcPr>
          <w:p>
            <w:pPr>
              <w:widowControl/>
              <w:adjustRightInd w:val="0"/>
              <w:snapToGrid w:val="0"/>
              <w:spacing w:line="360" w:lineRule="auto"/>
              <w:jc w:val="center"/>
              <w:rPr>
                <w:rFonts w:hint="eastAsia" w:ascii="宋体" w:hAnsi="宋体" w:eastAsia="宋体" w:cs="宋体"/>
                <w:color w:val="auto"/>
                <w:kern w:val="0"/>
                <w:sz w:val="24"/>
              </w:rPr>
            </w:pPr>
            <w:r>
              <w:rPr>
                <w:rFonts w:hint="eastAsia" w:ascii="宋体" w:hAnsi="宋体" w:eastAsia="宋体" w:cs="宋体"/>
                <w:color w:val="auto"/>
                <w:kern w:val="0"/>
                <w:sz w:val="24"/>
              </w:rPr>
              <w:t>分值构成</w:t>
            </w:r>
          </w:p>
        </w:tc>
        <w:tc>
          <w:tcPr>
            <w:tcW w:w="7745" w:type="dxa"/>
            <w:gridSpan w:val="2"/>
            <w:noWrap w:val="0"/>
            <w:vAlign w:val="top"/>
          </w:tcPr>
          <w:p>
            <w:pPr>
              <w:widowControl/>
              <w:adjustRightInd w:val="0"/>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商务部分</w:t>
            </w:r>
            <w:r>
              <w:rPr>
                <w:rFonts w:hint="eastAsia" w:ascii="宋体" w:hAnsi="宋体" w:eastAsia="宋体" w:cs="宋体"/>
                <w:color w:val="auto"/>
                <w:kern w:val="0"/>
                <w:sz w:val="24"/>
                <w:lang w:val="en-US" w:eastAsia="zh-CN"/>
              </w:rPr>
              <w:t>35</w:t>
            </w:r>
            <w:r>
              <w:rPr>
                <w:rFonts w:hint="eastAsia" w:ascii="宋体" w:hAnsi="宋体" w:eastAsia="宋体" w:cs="宋体"/>
                <w:color w:val="auto"/>
                <w:kern w:val="0"/>
                <w:sz w:val="24"/>
              </w:rPr>
              <w:t>.0分</w:t>
            </w:r>
          </w:p>
          <w:p>
            <w:pPr>
              <w:widowControl/>
              <w:adjustRightInd w:val="0"/>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技术部分5</w:t>
            </w:r>
            <w:r>
              <w:rPr>
                <w:rFonts w:hint="eastAsia" w:ascii="宋体" w:hAnsi="宋体" w:eastAsia="宋体" w:cs="宋体"/>
                <w:color w:val="auto"/>
                <w:kern w:val="0"/>
                <w:sz w:val="24"/>
                <w:lang w:val="en-US" w:eastAsia="zh-CN"/>
              </w:rPr>
              <w:t>5</w:t>
            </w:r>
            <w:r>
              <w:rPr>
                <w:rFonts w:hint="eastAsia" w:ascii="宋体" w:hAnsi="宋体" w:eastAsia="宋体" w:cs="宋体"/>
                <w:color w:val="auto"/>
                <w:kern w:val="0"/>
                <w:sz w:val="24"/>
              </w:rPr>
              <w:t>.0分</w:t>
            </w:r>
          </w:p>
          <w:p>
            <w:pPr>
              <w:widowControl/>
              <w:adjustRightInd w:val="0"/>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报价得分</w:t>
            </w:r>
            <w:r>
              <w:rPr>
                <w:rFonts w:hint="eastAsia" w:ascii="宋体" w:hAnsi="宋体" w:eastAsia="宋体" w:cs="宋体"/>
                <w:color w:val="auto"/>
                <w:kern w:val="0"/>
                <w:sz w:val="24"/>
                <w:lang w:val="en-US" w:eastAsia="zh-CN"/>
              </w:rPr>
              <w:t>1</w:t>
            </w:r>
            <w:r>
              <w:rPr>
                <w:rFonts w:hint="eastAsia" w:ascii="宋体" w:hAnsi="宋体" w:eastAsia="宋体" w:cs="宋体"/>
                <w:color w:val="auto"/>
                <w:kern w:val="0"/>
                <w:sz w:val="24"/>
              </w:rPr>
              <w:t>0.0分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326" w:type="dxa"/>
            <w:vMerge w:val="restart"/>
            <w:noWrap w:val="0"/>
            <w:vAlign w:val="center"/>
          </w:tcPr>
          <w:p>
            <w:pPr>
              <w:widowControl/>
              <w:adjustRightInd w:val="0"/>
              <w:snapToGrid w:val="0"/>
              <w:spacing w:line="360" w:lineRule="auto"/>
              <w:jc w:val="center"/>
              <w:rPr>
                <w:rFonts w:hint="eastAsia" w:ascii="宋体" w:hAnsi="宋体" w:eastAsia="宋体" w:cs="宋体"/>
                <w:color w:val="auto"/>
                <w:kern w:val="0"/>
                <w:sz w:val="24"/>
              </w:rPr>
            </w:pPr>
            <w:r>
              <w:rPr>
                <w:rFonts w:hint="eastAsia" w:ascii="宋体" w:hAnsi="宋体" w:eastAsia="宋体" w:cs="宋体"/>
                <w:color w:val="auto"/>
                <w:kern w:val="0"/>
                <w:sz w:val="24"/>
              </w:rPr>
              <w:t>技术部分</w:t>
            </w:r>
          </w:p>
        </w:tc>
        <w:tc>
          <w:tcPr>
            <w:tcW w:w="1576" w:type="dxa"/>
            <w:noWrap w:val="0"/>
            <w:vAlign w:val="center"/>
          </w:tcPr>
          <w:p>
            <w:pPr>
              <w:widowControl/>
              <w:adjustRightInd w:val="0"/>
              <w:snapToGrid w:val="0"/>
              <w:spacing w:line="360" w:lineRule="auto"/>
              <w:jc w:val="center"/>
              <w:rPr>
                <w:rFonts w:hint="eastAsia" w:ascii="宋体" w:hAnsi="宋体" w:eastAsia="宋体" w:cs="宋体"/>
                <w:color w:val="auto"/>
                <w:kern w:val="0"/>
                <w:sz w:val="24"/>
              </w:rPr>
            </w:pPr>
            <w:r>
              <w:rPr>
                <w:rFonts w:hint="eastAsia" w:ascii="宋体" w:hAnsi="宋体" w:eastAsia="宋体" w:cs="宋体"/>
                <w:color w:val="auto"/>
                <w:kern w:val="0"/>
                <w:sz w:val="24"/>
              </w:rPr>
              <w:t>对项目背景的理解与运营现状</w:t>
            </w:r>
            <w:r>
              <w:rPr>
                <w:rFonts w:hint="eastAsia" w:ascii="宋体" w:hAnsi="宋体" w:eastAsia="宋体" w:cs="宋体"/>
                <w:color w:val="auto"/>
                <w:kern w:val="0"/>
                <w:sz w:val="24"/>
                <w:lang w:val="en-US" w:eastAsia="zh-CN"/>
              </w:rPr>
              <w:t>的</w:t>
            </w:r>
            <w:r>
              <w:rPr>
                <w:rFonts w:hint="eastAsia" w:ascii="宋体" w:hAnsi="宋体" w:eastAsia="宋体" w:cs="宋体"/>
                <w:color w:val="auto"/>
                <w:kern w:val="0"/>
                <w:sz w:val="24"/>
              </w:rPr>
              <w:t>分析</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10</w:t>
            </w:r>
            <w:r>
              <w:rPr>
                <w:rFonts w:hint="eastAsia" w:ascii="宋体" w:hAnsi="宋体" w:eastAsia="宋体" w:cs="宋体"/>
                <w:color w:val="auto"/>
                <w:kern w:val="0"/>
                <w:sz w:val="24"/>
              </w:rPr>
              <w:t>.0分</w:t>
            </w:r>
            <w:r>
              <w:rPr>
                <w:rFonts w:hint="eastAsia" w:ascii="宋体" w:hAnsi="宋体" w:eastAsia="宋体" w:cs="宋体"/>
                <w:color w:val="auto"/>
                <w:kern w:val="0"/>
                <w:sz w:val="24"/>
                <w:lang w:eastAsia="zh-CN"/>
              </w:rPr>
              <w:t>）</w:t>
            </w:r>
          </w:p>
        </w:tc>
        <w:tc>
          <w:tcPr>
            <w:tcW w:w="6169" w:type="dxa"/>
            <w:noWrap w:val="0"/>
            <w:vAlign w:val="top"/>
          </w:tcPr>
          <w:p>
            <w:pPr>
              <w:widowControl/>
              <w:adjustRightInd w:val="0"/>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根据</w:t>
            </w:r>
            <w:r>
              <w:rPr>
                <w:rFonts w:hint="eastAsia" w:ascii="宋体" w:hAnsi="宋体" w:eastAsia="宋体" w:cs="宋体"/>
                <w:color w:val="auto"/>
                <w:kern w:val="0"/>
                <w:sz w:val="24"/>
                <w:lang w:eastAsia="zh-CN"/>
              </w:rPr>
              <w:t>供应商</w:t>
            </w:r>
            <w:r>
              <w:rPr>
                <w:rFonts w:hint="eastAsia" w:ascii="宋体" w:hAnsi="宋体" w:eastAsia="宋体" w:cs="宋体"/>
                <w:color w:val="auto"/>
                <w:kern w:val="0"/>
                <w:sz w:val="24"/>
              </w:rPr>
              <w:t>提供的对项目业务运营背景的理解与运营现状的分析进行评审，内容包括但不限于：项目运营背景的理解</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rPr>
              <w:t>运营现状的分析。涵盖上述所有内容且对上述各项内容描述全面、详细，得</w:t>
            </w:r>
            <w:r>
              <w:rPr>
                <w:rFonts w:hint="eastAsia" w:ascii="宋体" w:hAnsi="宋体" w:eastAsia="宋体" w:cs="宋体"/>
                <w:color w:val="auto"/>
                <w:kern w:val="0"/>
                <w:sz w:val="24"/>
                <w:lang w:val="en-US" w:eastAsia="zh-CN"/>
              </w:rPr>
              <w:t>10</w:t>
            </w:r>
            <w:r>
              <w:rPr>
                <w:rFonts w:hint="eastAsia" w:ascii="宋体" w:hAnsi="宋体" w:eastAsia="宋体" w:cs="宋体"/>
                <w:color w:val="auto"/>
                <w:kern w:val="0"/>
                <w:sz w:val="24"/>
              </w:rPr>
              <w:t>分；涵盖上述所有内容且对上述各项内容描述较全面、较详细，得</w:t>
            </w:r>
            <w:r>
              <w:rPr>
                <w:rFonts w:hint="eastAsia" w:ascii="宋体" w:hAnsi="宋体" w:eastAsia="宋体" w:cs="宋体"/>
                <w:color w:val="auto"/>
                <w:kern w:val="0"/>
                <w:sz w:val="24"/>
                <w:lang w:val="en-US" w:eastAsia="zh-CN"/>
              </w:rPr>
              <w:t>6</w:t>
            </w:r>
            <w:r>
              <w:rPr>
                <w:rFonts w:hint="eastAsia" w:ascii="宋体" w:hAnsi="宋体" w:eastAsia="宋体" w:cs="宋体"/>
                <w:color w:val="auto"/>
                <w:kern w:val="0"/>
                <w:sz w:val="24"/>
              </w:rPr>
              <w:t>分；涵盖上述所有内容但对上述各项内容描述不够全面、不够具体，得</w:t>
            </w:r>
            <w:r>
              <w:rPr>
                <w:rFonts w:hint="eastAsia" w:ascii="宋体" w:hAnsi="宋体" w:eastAsia="宋体" w:cs="宋体"/>
                <w:color w:val="auto"/>
                <w:kern w:val="0"/>
                <w:sz w:val="24"/>
                <w:lang w:val="en-US" w:eastAsia="zh-CN"/>
              </w:rPr>
              <w:t>3</w:t>
            </w:r>
            <w:r>
              <w:rPr>
                <w:rFonts w:hint="eastAsia" w:ascii="宋体" w:hAnsi="宋体" w:eastAsia="宋体" w:cs="宋体"/>
                <w:color w:val="auto"/>
                <w:kern w:val="0"/>
                <w:sz w:val="24"/>
              </w:rPr>
              <w:t>分；不提供</w:t>
            </w:r>
            <w:r>
              <w:rPr>
                <w:rFonts w:hint="eastAsia" w:ascii="宋体" w:hAnsi="宋体" w:eastAsia="宋体" w:cs="宋体"/>
                <w:color w:val="auto"/>
                <w:kern w:val="0"/>
                <w:sz w:val="24"/>
                <w:lang w:val="en-US" w:eastAsia="zh-CN"/>
              </w:rPr>
              <w:t>方案</w:t>
            </w:r>
            <w:r>
              <w:rPr>
                <w:rFonts w:hint="eastAsia" w:ascii="宋体" w:hAnsi="宋体" w:eastAsia="宋体" w:cs="宋体"/>
                <w:color w:val="auto"/>
                <w:kern w:val="0"/>
                <w:sz w:val="24"/>
              </w:rPr>
              <w:t>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0" w:hRule="atLeast"/>
          <w:jc w:val="center"/>
        </w:trPr>
        <w:tc>
          <w:tcPr>
            <w:tcW w:w="1326" w:type="dxa"/>
            <w:vMerge w:val="continue"/>
            <w:noWrap w:val="0"/>
            <w:vAlign w:val="center"/>
          </w:tcPr>
          <w:p>
            <w:pPr>
              <w:widowControl/>
              <w:adjustRightInd w:val="0"/>
              <w:snapToGrid w:val="0"/>
              <w:spacing w:line="360" w:lineRule="auto"/>
              <w:jc w:val="center"/>
              <w:rPr>
                <w:rFonts w:hint="eastAsia" w:ascii="宋体" w:hAnsi="宋体" w:eastAsia="宋体" w:cs="宋体"/>
                <w:color w:val="auto"/>
                <w:kern w:val="0"/>
                <w:sz w:val="24"/>
              </w:rPr>
            </w:pPr>
          </w:p>
        </w:tc>
        <w:tc>
          <w:tcPr>
            <w:tcW w:w="1576" w:type="dxa"/>
            <w:noWrap w:val="0"/>
            <w:vAlign w:val="center"/>
          </w:tcPr>
          <w:p>
            <w:pPr>
              <w:widowControl/>
              <w:adjustRightInd w:val="0"/>
              <w:snapToGrid w:val="0"/>
              <w:spacing w:line="360" w:lineRule="auto"/>
              <w:jc w:val="center"/>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项目组织实施方</w:t>
            </w:r>
            <w:r>
              <w:rPr>
                <w:rFonts w:hint="eastAsia" w:ascii="宋体" w:hAnsi="宋体" w:eastAsia="宋体" w:cs="宋体"/>
                <w:color w:val="auto"/>
                <w:kern w:val="0"/>
                <w:sz w:val="24"/>
              </w:rPr>
              <w:t>案</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10</w:t>
            </w:r>
            <w:r>
              <w:rPr>
                <w:rFonts w:hint="eastAsia" w:ascii="宋体" w:hAnsi="宋体" w:eastAsia="宋体" w:cs="宋体"/>
                <w:color w:val="auto"/>
                <w:kern w:val="0"/>
                <w:sz w:val="24"/>
              </w:rPr>
              <w:t>.0分</w:t>
            </w:r>
            <w:r>
              <w:rPr>
                <w:rFonts w:hint="eastAsia" w:ascii="宋体" w:hAnsi="宋体" w:eastAsia="宋体" w:cs="宋体"/>
                <w:color w:val="auto"/>
                <w:kern w:val="0"/>
                <w:sz w:val="24"/>
                <w:lang w:eastAsia="zh-CN"/>
              </w:rPr>
              <w:t>）</w:t>
            </w:r>
          </w:p>
        </w:tc>
        <w:tc>
          <w:tcPr>
            <w:tcW w:w="6169" w:type="dxa"/>
            <w:noWrap w:val="0"/>
            <w:vAlign w:val="top"/>
          </w:tcPr>
          <w:p>
            <w:pPr>
              <w:widowControl/>
              <w:adjustRightInd w:val="0"/>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对</w:t>
            </w:r>
            <w:r>
              <w:rPr>
                <w:rFonts w:hint="eastAsia" w:ascii="宋体" w:hAnsi="宋体" w:eastAsia="宋体" w:cs="宋体"/>
                <w:color w:val="auto"/>
                <w:kern w:val="0"/>
                <w:sz w:val="24"/>
                <w:lang w:eastAsia="zh-CN"/>
              </w:rPr>
              <w:t>供应商</w:t>
            </w:r>
            <w:r>
              <w:rPr>
                <w:rFonts w:hint="eastAsia" w:ascii="宋体" w:hAnsi="宋体" w:eastAsia="宋体" w:cs="宋体"/>
                <w:color w:val="auto"/>
                <w:kern w:val="0"/>
                <w:sz w:val="24"/>
              </w:rPr>
              <w:t>提供的</w:t>
            </w:r>
            <w:r>
              <w:rPr>
                <w:rFonts w:hint="eastAsia" w:ascii="宋体" w:hAnsi="宋体" w:eastAsia="宋体" w:cs="宋体"/>
                <w:color w:val="auto"/>
                <w:kern w:val="0"/>
                <w:sz w:val="24"/>
                <w:lang w:val="en-US" w:eastAsia="zh-CN"/>
              </w:rPr>
              <w:t>项目组织实施</w:t>
            </w:r>
            <w:r>
              <w:rPr>
                <w:rFonts w:hint="eastAsia" w:ascii="宋体" w:hAnsi="宋体" w:eastAsia="宋体" w:cs="宋体"/>
                <w:color w:val="auto"/>
                <w:kern w:val="0"/>
                <w:sz w:val="24"/>
              </w:rPr>
              <w:t>方案进行评审，内容包括但不限于：①内部组织管理方式及人员配置方案；②</w:t>
            </w:r>
            <w:r>
              <w:rPr>
                <w:rFonts w:hint="eastAsia" w:ascii="宋体" w:hAnsi="宋体" w:eastAsia="宋体" w:cs="宋体"/>
                <w:color w:val="auto"/>
                <w:kern w:val="0"/>
                <w:sz w:val="24"/>
                <w:highlight w:val="none"/>
                <w:lang w:val="en-US" w:eastAsia="zh-CN"/>
              </w:rPr>
              <w:t>进度安排</w:t>
            </w:r>
            <w:r>
              <w:rPr>
                <w:rFonts w:hint="eastAsia" w:ascii="宋体" w:hAnsi="宋体" w:eastAsia="宋体" w:cs="宋体"/>
                <w:color w:val="auto"/>
                <w:kern w:val="0"/>
                <w:sz w:val="24"/>
              </w:rPr>
              <w:t>方案</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③</w:t>
            </w:r>
            <w:r>
              <w:rPr>
                <w:rFonts w:hint="eastAsia" w:ascii="宋体" w:hAnsi="宋体" w:eastAsia="宋体" w:cs="宋体"/>
                <w:color w:val="auto"/>
                <w:kern w:val="0"/>
                <w:sz w:val="24"/>
                <w:highlight w:val="none"/>
                <w:lang w:val="en-US" w:eastAsia="zh-CN"/>
              </w:rPr>
              <w:t>成果交付方案。</w:t>
            </w:r>
            <w:r>
              <w:rPr>
                <w:rFonts w:hint="eastAsia" w:ascii="宋体" w:hAnsi="宋体" w:eastAsia="宋体" w:cs="宋体"/>
                <w:color w:val="auto"/>
                <w:kern w:val="0"/>
                <w:sz w:val="24"/>
              </w:rPr>
              <w:t>涵盖上述所有内容且对上述各项内容描述全面、详细，可行性高，</w:t>
            </w:r>
            <w:r>
              <w:rPr>
                <w:rFonts w:hint="eastAsia" w:ascii="宋体" w:hAnsi="宋体" w:eastAsia="宋体" w:cs="宋体"/>
                <w:color w:val="auto"/>
                <w:kern w:val="0"/>
                <w:sz w:val="24"/>
                <w:lang w:val="en-US" w:eastAsia="zh-CN"/>
              </w:rPr>
              <w:t>完全满足且优于项目需求的，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10</w:t>
            </w:r>
            <w:r>
              <w:rPr>
                <w:rFonts w:hint="eastAsia" w:ascii="宋体" w:hAnsi="宋体" w:eastAsia="宋体" w:cs="宋体"/>
                <w:color w:val="auto"/>
                <w:kern w:val="0"/>
                <w:sz w:val="24"/>
              </w:rPr>
              <w:t>分；涵盖上述所有内容且对上述各项内容描述较全面、较详细，可行性较高，</w:t>
            </w:r>
            <w:r>
              <w:rPr>
                <w:rFonts w:hint="eastAsia" w:ascii="宋体" w:hAnsi="宋体" w:eastAsia="宋体" w:cs="宋体"/>
                <w:color w:val="auto"/>
                <w:kern w:val="0"/>
                <w:sz w:val="24"/>
                <w:lang w:val="en-US" w:eastAsia="zh-CN"/>
              </w:rPr>
              <w:t>完全满足项目需求的，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8</w:t>
            </w:r>
            <w:r>
              <w:rPr>
                <w:rFonts w:hint="eastAsia" w:ascii="宋体" w:hAnsi="宋体" w:eastAsia="宋体" w:cs="宋体"/>
                <w:color w:val="auto"/>
                <w:kern w:val="0"/>
                <w:sz w:val="24"/>
              </w:rPr>
              <w:t>分；涵盖上述所有内容且对上述各项内容描述基本全面、基本具体，可行性一般，</w:t>
            </w:r>
            <w:r>
              <w:rPr>
                <w:rFonts w:hint="eastAsia" w:ascii="宋体" w:hAnsi="宋体" w:eastAsia="宋体" w:cs="宋体"/>
                <w:color w:val="auto"/>
                <w:kern w:val="0"/>
                <w:sz w:val="24"/>
                <w:lang w:val="en-US" w:eastAsia="zh-CN"/>
              </w:rPr>
              <w:t>基本满足项目需求的，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5</w:t>
            </w:r>
            <w:r>
              <w:rPr>
                <w:rFonts w:hint="eastAsia" w:ascii="宋体" w:hAnsi="宋体" w:eastAsia="宋体" w:cs="宋体"/>
                <w:color w:val="auto"/>
                <w:kern w:val="0"/>
                <w:sz w:val="24"/>
              </w:rPr>
              <w:t>分；涵盖上述所有内容但对上述各项内容描述不够全面、不够具体，可行性低，</w:t>
            </w:r>
            <w:r>
              <w:rPr>
                <w:rFonts w:hint="eastAsia" w:ascii="宋体" w:hAnsi="宋体" w:eastAsia="宋体" w:cs="宋体"/>
                <w:color w:val="auto"/>
                <w:kern w:val="0"/>
                <w:sz w:val="24"/>
                <w:lang w:val="en-US" w:eastAsia="zh-CN"/>
              </w:rPr>
              <w:t>不能满足项目需求的，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3</w:t>
            </w:r>
            <w:r>
              <w:rPr>
                <w:rFonts w:hint="eastAsia" w:ascii="宋体" w:hAnsi="宋体" w:eastAsia="宋体" w:cs="宋体"/>
                <w:color w:val="auto"/>
                <w:kern w:val="0"/>
                <w:sz w:val="24"/>
              </w:rPr>
              <w:t>分；不提供</w:t>
            </w:r>
            <w:r>
              <w:rPr>
                <w:rFonts w:hint="eastAsia" w:ascii="宋体" w:hAnsi="宋体" w:eastAsia="宋体" w:cs="宋体"/>
                <w:color w:val="auto"/>
                <w:kern w:val="0"/>
                <w:sz w:val="24"/>
                <w:lang w:val="en-US" w:eastAsia="zh-CN"/>
              </w:rPr>
              <w:t>方案</w:t>
            </w:r>
            <w:r>
              <w:rPr>
                <w:rFonts w:hint="eastAsia" w:ascii="宋体" w:hAnsi="宋体" w:eastAsia="宋体" w:cs="宋体"/>
                <w:color w:val="auto"/>
                <w:kern w:val="0"/>
                <w:sz w:val="24"/>
              </w:rPr>
              <w:t>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326" w:type="dxa"/>
            <w:vMerge w:val="continue"/>
            <w:noWrap w:val="0"/>
            <w:vAlign w:val="center"/>
          </w:tcPr>
          <w:p>
            <w:pPr>
              <w:widowControl/>
              <w:adjustRightInd w:val="0"/>
              <w:snapToGrid w:val="0"/>
              <w:spacing w:line="360" w:lineRule="auto"/>
              <w:jc w:val="center"/>
              <w:rPr>
                <w:rFonts w:hint="eastAsia" w:ascii="宋体" w:hAnsi="宋体" w:eastAsia="宋体" w:cs="宋体"/>
                <w:color w:val="auto"/>
                <w:kern w:val="0"/>
                <w:sz w:val="24"/>
              </w:rPr>
            </w:pPr>
          </w:p>
        </w:tc>
        <w:tc>
          <w:tcPr>
            <w:tcW w:w="1576" w:type="dxa"/>
            <w:noWrap w:val="0"/>
            <w:vAlign w:val="center"/>
          </w:tcPr>
          <w:p>
            <w:pPr>
              <w:widowControl/>
              <w:adjustRightInd w:val="0"/>
              <w:snapToGrid w:val="0"/>
              <w:spacing w:line="360" w:lineRule="auto"/>
              <w:jc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val="en-US" w:eastAsia="zh-CN"/>
              </w:rPr>
              <w:t>项目数据安全</w:t>
            </w:r>
            <w:r>
              <w:rPr>
                <w:rFonts w:hint="eastAsia" w:ascii="宋体" w:hAnsi="宋体" w:eastAsia="宋体" w:cs="宋体"/>
                <w:color w:val="auto"/>
                <w:kern w:val="0"/>
                <w:sz w:val="24"/>
              </w:rPr>
              <w:t>服务方案</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20</w:t>
            </w:r>
            <w:r>
              <w:rPr>
                <w:rFonts w:hint="eastAsia" w:ascii="宋体" w:hAnsi="宋体" w:eastAsia="宋体" w:cs="宋体"/>
                <w:color w:val="auto"/>
                <w:kern w:val="0"/>
                <w:sz w:val="24"/>
              </w:rPr>
              <w:t>.0分</w:t>
            </w:r>
            <w:r>
              <w:rPr>
                <w:rFonts w:hint="eastAsia" w:ascii="宋体" w:hAnsi="宋体" w:eastAsia="宋体" w:cs="宋体"/>
                <w:color w:val="auto"/>
                <w:kern w:val="0"/>
                <w:sz w:val="24"/>
                <w:lang w:eastAsia="zh-CN"/>
              </w:rPr>
              <w:t>）</w:t>
            </w:r>
          </w:p>
        </w:tc>
        <w:tc>
          <w:tcPr>
            <w:tcW w:w="6169" w:type="dxa"/>
            <w:noWrap w:val="0"/>
            <w:vAlign w:val="top"/>
          </w:tcPr>
          <w:p>
            <w:pPr>
              <w:widowControl/>
              <w:adjustRightInd w:val="0"/>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对</w:t>
            </w:r>
            <w:r>
              <w:rPr>
                <w:rFonts w:hint="eastAsia" w:ascii="宋体" w:hAnsi="宋体" w:eastAsia="宋体" w:cs="宋体"/>
                <w:color w:val="auto"/>
                <w:kern w:val="0"/>
                <w:sz w:val="24"/>
                <w:lang w:eastAsia="zh-CN"/>
              </w:rPr>
              <w:t>供应商</w:t>
            </w:r>
            <w:r>
              <w:rPr>
                <w:rFonts w:hint="eastAsia" w:ascii="宋体" w:hAnsi="宋体" w:eastAsia="宋体" w:cs="宋体"/>
                <w:color w:val="auto"/>
                <w:kern w:val="0"/>
                <w:sz w:val="24"/>
              </w:rPr>
              <w:t>提供的</w:t>
            </w:r>
            <w:r>
              <w:rPr>
                <w:rFonts w:hint="eastAsia" w:ascii="宋体" w:hAnsi="宋体" w:eastAsia="宋体" w:cs="宋体"/>
                <w:color w:val="auto"/>
                <w:kern w:val="0"/>
                <w:sz w:val="24"/>
                <w:lang w:val="en-US" w:eastAsia="zh-CN"/>
              </w:rPr>
              <w:t>项目数据安全</w:t>
            </w:r>
            <w:r>
              <w:rPr>
                <w:rFonts w:hint="eastAsia" w:ascii="宋体" w:hAnsi="宋体" w:eastAsia="宋体" w:cs="宋体"/>
                <w:color w:val="auto"/>
                <w:kern w:val="0"/>
                <w:sz w:val="24"/>
              </w:rPr>
              <w:t>服务方案进行评审，内容包括但不限于：</w:t>
            </w:r>
            <w:r>
              <w:rPr>
                <w:rFonts w:hint="eastAsia" w:ascii="宋体" w:hAnsi="宋体" w:eastAsia="宋体" w:cs="宋体"/>
                <w:color w:val="auto"/>
                <w:kern w:val="0"/>
                <w:sz w:val="24"/>
                <w:lang w:val="en-US" w:eastAsia="zh-CN"/>
              </w:rPr>
              <w:t>数据安全风险评估服务、数据安全专项规划编制服务、数据安全管理体系建设服务、数据分类分级服务</w:t>
            </w:r>
            <w:r>
              <w:rPr>
                <w:rFonts w:hint="eastAsia" w:ascii="宋体" w:hAnsi="宋体" w:eastAsia="宋体" w:cs="宋体"/>
                <w:color w:val="auto"/>
                <w:kern w:val="0"/>
                <w:sz w:val="24"/>
              </w:rPr>
              <w:t>。涵盖上述所有内容且对上述各项内容描述全面、详细，可行性高，</w:t>
            </w:r>
            <w:r>
              <w:rPr>
                <w:rFonts w:hint="eastAsia" w:ascii="宋体" w:hAnsi="宋体" w:eastAsia="宋体" w:cs="宋体"/>
                <w:color w:val="auto"/>
                <w:kern w:val="0"/>
                <w:sz w:val="24"/>
                <w:lang w:val="en-US" w:eastAsia="zh-CN"/>
              </w:rPr>
              <w:t>完全满足且优于项目需求的，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20</w:t>
            </w:r>
            <w:r>
              <w:rPr>
                <w:rFonts w:hint="eastAsia" w:ascii="宋体" w:hAnsi="宋体" w:eastAsia="宋体" w:cs="宋体"/>
                <w:color w:val="auto"/>
                <w:kern w:val="0"/>
                <w:sz w:val="24"/>
              </w:rPr>
              <w:t>分；涵盖上述所有内容且对上述各项内容描述较全面、较详细，可行性较高，</w:t>
            </w:r>
            <w:r>
              <w:rPr>
                <w:rFonts w:hint="eastAsia" w:ascii="宋体" w:hAnsi="宋体" w:eastAsia="宋体" w:cs="宋体"/>
                <w:color w:val="auto"/>
                <w:kern w:val="0"/>
                <w:sz w:val="24"/>
                <w:lang w:val="en-US" w:eastAsia="zh-CN"/>
              </w:rPr>
              <w:t>完全满足项目需求的，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14</w:t>
            </w:r>
            <w:r>
              <w:rPr>
                <w:rFonts w:hint="eastAsia" w:ascii="宋体" w:hAnsi="宋体" w:eastAsia="宋体" w:cs="宋体"/>
                <w:color w:val="auto"/>
                <w:kern w:val="0"/>
                <w:sz w:val="24"/>
              </w:rPr>
              <w:t>分；涵盖上述所有内容且对上述各项内容描述基本全面、基本具体，可行性一般，</w:t>
            </w:r>
            <w:r>
              <w:rPr>
                <w:rFonts w:hint="eastAsia" w:ascii="宋体" w:hAnsi="宋体" w:eastAsia="宋体" w:cs="宋体"/>
                <w:color w:val="auto"/>
                <w:kern w:val="0"/>
                <w:sz w:val="24"/>
                <w:lang w:val="en-US" w:eastAsia="zh-CN"/>
              </w:rPr>
              <w:t>基本满足项目需求的，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10</w:t>
            </w:r>
            <w:r>
              <w:rPr>
                <w:rFonts w:hint="eastAsia" w:ascii="宋体" w:hAnsi="宋体" w:eastAsia="宋体" w:cs="宋体"/>
                <w:color w:val="auto"/>
                <w:kern w:val="0"/>
                <w:sz w:val="24"/>
              </w:rPr>
              <w:t>分；涵盖上述所有内容但对上述各项内容描述不够全面、不够具体，可行性低，</w:t>
            </w:r>
            <w:r>
              <w:rPr>
                <w:rFonts w:hint="eastAsia" w:ascii="宋体" w:hAnsi="宋体" w:eastAsia="宋体" w:cs="宋体"/>
                <w:color w:val="auto"/>
                <w:kern w:val="0"/>
                <w:sz w:val="24"/>
                <w:lang w:val="en-US" w:eastAsia="zh-CN"/>
              </w:rPr>
              <w:t>不能满足项目需求的，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5</w:t>
            </w:r>
            <w:r>
              <w:rPr>
                <w:rFonts w:hint="eastAsia" w:ascii="宋体" w:hAnsi="宋体" w:eastAsia="宋体" w:cs="宋体"/>
                <w:color w:val="auto"/>
                <w:kern w:val="0"/>
                <w:sz w:val="24"/>
              </w:rPr>
              <w:t>分；不提供</w:t>
            </w:r>
            <w:r>
              <w:rPr>
                <w:rFonts w:hint="eastAsia" w:ascii="宋体" w:hAnsi="宋体" w:eastAsia="宋体" w:cs="宋体"/>
                <w:color w:val="auto"/>
                <w:kern w:val="0"/>
                <w:sz w:val="24"/>
                <w:lang w:val="en-US" w:eastAsia="zh-CN"/>
              </w:rPr>
              <w:t>方案</w:t>
            </w:r>
            <w:r>
              <w:rPr>
                <w:rFonts w:hint="eastAsia" w:ascii="宋体" w:hAnsi="宋体" w:eastAsia="宋体" w:cs="宋体"/>
                <w:color w:val="auto"/>
                <w:kern w:val="0"/>
                <w:sz w:val="24"/>
              </w:rPr>
              <w:t>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326" w:type="dxa"/>
            <w:vMerge w:val="continue"/>
            <w:noWrap w:val="0"/>
            <w:vAlign w:val="center"/>
          </w:tcPr>
          <w:p>
            <w:pPr>
              <w:widowControl/>
              <w:adjustRightInd w:val="0"/>
              <w:snapToGrid w:val="0"/>
              <w:spacing w:line="360" w:lineRule="auto"/>
              <w:jc w:val="center"/>
              <w:rPr>
                <w:rFonts w:hint="eastAsia" w:ascii="宋体" w:hAnsi="宋体" w:eastAsia="宋体" w:cs="宋体"/>
                <w:color w:val="auto"/>
                <w:kern w:val="0"/>
                <w:sz w:val="24"/>
              </w:rPr>
            </w:pPr>
          </w:p>
        </w:tc>
        <w:tc>
          <w:tcPr>
            <w:tcW w:w="1576" w:type="dxa"/>
            <w:noWrap w:val="0"/>
            <w:vAlign w:val="center"/>
          </w:tcPr>
          <w:p>
            <w:pPr>
              <w:widowControl/>
              <w:adjustRightInd w:val="0"/>
              <w:snapToGrid w:val="0"/>
              <w:spacing w:line="360" w:lineRule="auto"/>
              <w:jc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rPr>
              <w:t>服务质量管理方案</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8</w:t>
            </w:r>
            <w:r>
              <w:rPr>
                <w:rFonts w:hint="eastAsia" w:ascii="宋体" w:hAnsi="宋体" w:eastAsia="宋体" w:cs="宋体"/>
                <w:color w:val="auto"/>
                <w:kern w:val="0"/>
                <w:sz w:val="24"/>
              </w:rPr>
              <w:t>.0分</w:t>
            </w:r>
            <w:r>
              <w:rPr>
                <w:rFonts w:hint="eastAsia" w:ascii="宋体" w:hAnsi="宋体" w:eastAsia="宋体" w:cs="宋体"/>
                <w:color w:val="auto"/>
                <w:kern w:val="0"/>
                <w:sz w:val="24"/>
                <w:lang w:eastAsia="zh-CN"/>
              </w:rPr>
              <w:t>）</w:t>
            </w:r>
          </w:p>
        </w:tc>
        <w:tc>
          <w:tcPr>
            <w:tcW w:w="6169" w:type="dxa"/>
            <w:noWrap w:val="0"/>
            <w:vAlign w:val="top"/>
          </w:tcPr>
          <w:p>
            <w:pPr>
              <w:widowControl/>
              <w:adjustRightInd w:val="0"/>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对</w:t>
            </w:r>
            <w:r>
              <w:rPr>
                <w:rFonts w:hint="eastAsia" w:ascii="宋体" w:hAnsi="宋体" w:eastAsia="宋体" w:cs="宋体"/>
                <w:color w:val="auto"/>
                <w:kern w:val="0"/>
                <w:sz w:val="24"/>
                <w:lang w:eastAsia="zh-CN"/>
              </w:rPr>
              <w:t>供应商</w:t>
            </w:r>
            <w:r>
              <w:rPr>
                <w:rFonts w:hint="eastAsia" w:ascii="宋体" w:hAnsi="宋体" w:eastAsia="宋体" w:cs="宋体"/>
                <w:color w:val="auto"/>
                <w:kern w:val="0"/>
                <w:sz w:val="24"/>
              </w:rPr>
              <w:t>提供的服务质量管理方案进行评审，内容包括但不限于</w:t>
            </w:r>
            <w:r>
              <w:rPr>
                <w:rFonts w:hint="eastAsia" w:ascii="宋体" w:hAnsi="宋体" w:eastAsia="宋体" w:cs="宋体"/>
                <w:color w:val="auto"/>
                <w:kern w:val="0"/>
                <w:sz w:val="24"/>
                <w:lang w:val="en-US" w:eastAsia="zh-CN"/>
              </w:rPr>
              <w:t>服务质量保证措施、</w:t>
            </w:r>
            <w:r>
              <w:rPr>
                <w:rFonts w:hint="eastAsia" w:ascii="宋体" w:hAnsi="宋体" w:eastAsia="宋体" w:cs="宋体"/>
                <w:color w:val="auto"/>
                <w:kern w:val="0"/>
                <w:sz w:val="24"/>
              </w:rPr>
              <w:t>问题处理计划</w:t>
            </w:r>
            <w:r>
              <w:rPr>
                <w:rFonts w:hint="eastAsia" w:ascii="宋体" w:hAnsi="宋体" w:eastAsia="宋体" w:cs="宋体"/>
                <w:color w:val="auto"/>
                <w:kern w:val="0"/>
                <w:sz w:val="24"/>
                <w:lang w:val="en-US" w:eastAsia="zh-CN"/>
              </w:rPr>
              <w:t>及</w:t>
            </w:r>
            <w:r>
              <w:rPr>
                <w:rFonts w:hint="eastAsia" w:ascii="宋体" w:hAnsi="宋体" w:eastAsia="宋体" w:cs="宋体"/>
                <w:color w:val="auto"/>
                <w:kern w:val="0"/>
                <w:sz w:val="24"/>
              </w:rPr>
              <w:t>整改完善</w:t>
            </w:r>
            <w:r>
              <w:rPr>
                <w:rFonts w:hint="eastAsia" w:ascii="宋体" w:hAnsi="宋体" w:eastAsia="宋体" w:cs="宋体"/>
                <w:color w:val="auto"/>
                <w:kern w:val="0"/>
                <w:sz w:val="24"/>
                <w:lang w:val="en-US" w:eastAsia="zh-CN"/>
              </w:rPr>
              <w:t>措施等内容</w:t>
            </w:r>
            <w:r>
              <w:rPr>
                <w:rFonts w:hint="eastAsia" w:ascii="宋体" w:hAnsi="宋体" w:eastAsia="宋体" w:cs="宋体"/>
                <w:color w:val="auto"/>
                <w:kern w:val="0"/>
                <w:sz w:val="24"/>
              </w:rPr>
              <w:t>。涵盖上述所有内容且对上述各项内容描述全面、详细，可行性高，</w:t>
            </w:r>
            <w:r>
              <w:rPr>
                <w:rFonts w:hint="eastAsia" w:ascii="宋体" w:hAnsi="宋体" w:eastAsia="宋体" w:cs="宋体"/>
                <w:color w:val="auto"/>
                <w:kern w:val="0"/>
                <w:sz w:val="24"/>
                <w:lang w:val="en-US" w:eastAsia="zh-CN"/>
              </w:rPr>
              <w:t>完全满足且优于项目需求的，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8</w:t>
            </w:r>
            <w:r>
              <w:rPr>
                <w:rFonts w:hint="eastAsia" w:ascii="宋体" w:hAnsi="宋体" w:eastAsia="宋体" w:cs="宋体"/>
                <w:color w:val="auto"/>
                <w:kern w:val="0"/>
                <w:sz w:val="24"/>
              </w:rPr>
              <w:t>分；涵盖上述所有内容且对上述各项内容描述较全面、较详细，可行性较高，</w:t>
            </w:r>
            <w:r>
              <w:rPr>
                <w:rFonts w:hint="eastAsia" w:ascii="宋体" w:hAnsi="宋体" w:eastAsia="宋体" w:cs="宋体"/>
                <w:color w:val="auto"/>
                <w:kern w:val="0"/>
                <w:sz w:val="24"/>
                <w:lang w:val="en-US" w:eastAsia="zh-CN"/>
              </w:rPr>
              <w:t>完全满足项目需求的，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5</w:t>
            </w:r>
            <w:r>
              <w:rPr>
                <w:rFonts w:hint="eastAsia" w:ascii="宋体" w:hAnsi="宋体" w:eastAsia="宋体" w:cs="宋体"/>
                <w:color w:val="auto"/>
                <w:kern w:val="0"/>
                <w:sz w:val="24"/>
              </w:rPr>
              <w:t>分；涵盖上述所有内容且对上述各项内容描述基本全面、基本具体，可行性一般，</w:t>
            </w:r>
            <w:r>
              <w:rPr>
                <w:rFonts w:hint="eastAsia" w:ascii="宋体" w:hAnsi="宋体" w:eastAsia="宋体" w:cs="宋体"/>
                <w:color w:val="auto"/>
                <w:kern w:val="0"/>
                <w:sz w:val="24"/>
                <w:lang w:val="en-US" w:eastAsia="zh-CN"/>
              </w:rPr>
              <w:t>基本满足项目需求的，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2</w:t>
            </w:r>
            <w:r>
              <w:rPr>
                <w:rFonts w:hint="eastAsia" w:ascii="宋体" w:hAnsi="宋体" w:eastAsia="宋体" w:cs="宋体"/>
                <w:color w:val="auto"/>
                <w:kern w:val="0"/>
                <w:sz w:val="24"/>
              </w:rPr>
              <w:t>分；涵盖上述所有内容但对上述各项内容描述不够全面、不够具体，可行性低，</w:t>
            </w:r>
            <w:r>
              <w:rPr>
                <w:rFonts w:hint="eastAsia" w:ascii="宋体" w:hAnsi="宋体" w:eastAsia="宋体" w:cs="宋体"/>
                <w:color w:val="auto"/>
                <w:kern w:val="0"/>
                <w:sz w:val="24"/>
                <w:lang w:val="en-US" w:eastAsia="zh-CN"/>
              </w:rPr>
              <w:t>不能满足项目需求的，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1</w:t>
            </w:r>
            <w:r>
              <w:rPr>
                <w:rFonts w:hint="eastAsia" w:ascii="宋体" w:hAnsi="宋体" w:eastAsia="宋体" w:cs="宋体"/>
                <w:color w:val="auto"/>
                <w:kern w:val="0"/>
                <w:sz w:val="24"/>
              </w:rPr>
              <w:t>分；不提供</w:t>
            </w:r>
            <w:r>
              <w:rPr>
                <w:rFonts w:hint="eastAsia" w:ascii="宋体" w:hAnsi="宋体" w:eastAsia="宋体" w:cs="宋体"/>
                <w:color w:val="auto"/>
                <w:kern w:val="0"/>
                <w:sz w:val="24"/>
                <w:lang w:val="en-US" w:eastAsia="zh-CN"/>
              </w:rPr>
              <w:t>方案</w:t>
            </w:r>
            <w:r>
              <w:rPr>
                <w:rFonts w:hint="eastAsia" w:ascii="宋体" w:hAnsi="宋体" w:eastAsia="宋体" w:cs="宋体"/>
                <w:color w:val="auto"/>
                <w:kern w:val="0"/>
                <w:sz w:val="24"/>
              </w:rPr>
              <w:t>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326" w:type="dxa"/>
            <w:vMerge w:val="continue"/>
            <w:noWrap w:val="0"/>
            <w:vAlign w:val="center"/>
          </w:tcPr>
          <w:p>
            <w:pPr>
              <w:widowControl/>
              <w:adjustRightInd w:val="0"/>
              <w:snapToGrid w:val="0"/>
              <w:spacing w:line="360" w:lineRule="auto"/>
              <w:jc w:val="center"/>
              <w:rPr>
                <w:rFonts w:hint="eastAsia" w:ascii="宋体" w:hAnsi="宋体" w:eastAsia="宋体" w:cs="宋体"/>
                <w:color w:val="auto"/>
                <w:kern w:val="0"/>
                <w:sz w:val="24"/>
              </w:rPr>
            </w:pPr>
          </w:p>
        </w:tc>
        <w:tc>
          <w:tcPr>
            <w:tcW w:w="1576" w:type="dxa"/>
            <w:noWrap w:val="0"/>
            <w:vAlign w:val="center"/>
          </w:tcPr>
          <w:p>
            <w:pPr>
              <w:widowControl/>
              <w:adjustRightInd w:val="0"/>
              <w:snapToGrid w:val="0"/>
              <w:spacing w:line="360" w:lineRule="auto"/>
              <w:jc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rPr>
              <w:t>突发事件快速响应</w:t>
            </w:r>
            <w:r>
              <w:rPr>
                <w:rFonts w:hint="eastAsia" w:ascii="宋体" w:hAnsi="宋体" w:eastAsia="宋体" w:cs="宋体"/>
                <w:color w:val="auto"/>
                <w:kern w:val="0"/>
                <w:sz w:val="24"/>
                <w:lang w:val="en-US" w:eastAsia="zh-CN"/>
              </w:rPr>
              <w:t>方案及措施</w:t>
            </w:r>
          </w:p>
          <w:p>
            <w:pPr>
              <w:widowControl/>
              <w:adjustRightInd w:val="0"/>
              <w:snapToGrid w:val="0"/>
              <w:spacing w:line="360" w:lineRule="auto"/>
              <w:jc w:val="center"/>
              <w:rPr>
                <w:rFonts w:hint="eastAsia" w:ascii="宋体" w:hAnsi="宋体" w:eastAsia="宋体" w:cs="宋体"/>
                <w:color w:val="auto"/>
                <w:kern w:val="0"/>
                <w:sz w:val="24"/>
              </w:rPr>
            </w:pPr>
            <w:r>
              <w:rPr>
                <w:rFonts w:hint="eastAsia" w:ascii="宋体" w:hAnsi="宋体" w:eastAsia="宋体" w:cs="宋体"/>
                <w:color w:val="auto"/>
                <w:kern w:val="0"/>
                <w:sz w:val="24"/>
              </w:rPr>
              <w:t>（</w:t>
            </w:r>
            <w:r>
              <w:rPr>
                <w:rFonts w:hint="eastAsia" w:ascii="宋体" w:hAnsi="宋体" w:eastAsia="宋体" w:cs="宋体"/>
                <w:color w:val="auto"/>
                <w:kern w:val="0"/>
                <w:sz w:val="24"/>
                <w:lang w:val="en-US" w:eastAsia="zh-CN"/>
              </w:rPr>
              <w:t>7</w:t>
            </w:r>
            <w:r>
              <w:rPr>
                <w:rFonts w:hint="eastAsia" w:ascii="宋体" w:hAnsi="宋体" w:eastAsia="宋体" w:cs="宋体"/>
                <w:color w:val="auto"/>
                <w:kern w:val="0"/>
                <w:sz w:val="24"/>
              </w:rPr>
              <w:t>.0分）</w:t>
            </w:r>
          </w:p>
        </w:tc>
        <w:tc>
          <w:tcPr>
            <w:tcW w:w="6169" w:type="dxa"/>
            <w:noWrap w:val="0"/>
            <w:vAlign w:val="top"/>
          </w:tcPr>
          <w:p>
            <w:pPr>
              <w:widowControl/>
              <w:adjustRightInd w:val="0"/>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对</w:t>
            </w:r>
            <w:r>
              <w:rPr>
                <w:rFonts w:hint="eastAsia" w:ascii="宋体" w:hAnsi="宋体" w:eastAsia="宋体" w:cs="宋体"/>
                <w:color w:val="auto"/>
                <w:kern w:val="0"/>
                <w:sz w:val="24"/>
                <w:lang w:eastAsia="zh-CN"/>
              </w:rPr>
              <w:t>供应商</w:t>
            </w:r>
            <w:r>
              <w:rPr>
                <w:rFonts w:hint="eastAsia" w:ascii="宋体" w:hAnsi="宋体" w:eastAsia="宋体" w:cs="宋体"/>
                <w:color w:val="auto"/>
                <w:kern w:val="0"/>
                <w:sz w:val="24"/>
              </w:rPr>
              <w:t>提供的突发事件快速响应方案及措施进行评审，内容包括但不限于：①</w:t>
            </w:r>
            <w:r>
              <w:rPr>
                <w:rFonts w:hint="eastAsia" w:ascii="宋体" w:hAnsi="宋体" w:eastAsia="宋体" w:cs="宋体"/>
                <w:color w:val="auto"/>
                <w:kern w:val="0"/>
                <w:sz w:val="24"/>
                <w:lang w:val="en-US" w:eastAsia="zh-CN"/>
              </w:rPr>
              <w:t>应</w:t>
            </w:r>
            <w:r>
              <w:rPr>
                <w:rFonts w:hint="eastAsia" w:ascii="宋体" w:hAnsi="宋体" w:eastAsia="宋体" w:cs="宋体"/>
                <w:color w:val="auto"/>
                <w:kern w:val="0"/>
                <w:sz w:val="24"/>
              </w:rPr>
              <w:t>急预案；②响应</w:t>
            </w:r>
            <w:r>
              <w:rPr>
                <w:rFonts w:hint="eastAsia" w:ascii="宋体" w:hAnsi="宋体" w:eastAsia="宋体" w:cs="宋体"/>
                <w:color w:val="auto"/>
                <w:kern w:val="0"/>
                <w:sz w:val="24"/>
                <w:lang w:val="en-US" w:eastAsia="zh-CN"/>
              </w:rPr>
              <w:t>时间及人员调配方案；</w:t>
            </w:r>
            <w:r>
              <w:rPr>
                <w:rFonts w:hint="eastAsia" w:ascii="宋体" w:hAnsi="宋体" w:eastAsia="宋体" w:cs="宋体"/>
                <w:color w:val="auto"/>
                <w:kern w:val="0"/>
                <w:sz w:val="24"/>
              </w:rPr>
              <w:t>③处理</w:t>
            </w:r>
            <w:r>
              <w:rPr>
                <w:rFonts w:hint="eastAsia" w:ascii="宋体" w:hAnsi="宋体" w:eastAsia="宋体" w:cs="宋体"/>
                <w:color w:val="auto"/>
                <w:kern w:val="0"/>
                <w:sz w:val="24"/>
                <w:lang w:val="en-US" w:eastAsia="zh-CN"/>
              </w:rPr>
              <w:t>措施</w:t>
            </w:r>
            <w:r>
              <w:rPr>
                <w:rFonts w:hint="eastAsia" w:ascii="宋体" w:hAnsi="宋体" w:eastAsia="宋体" w:cs="宋体"/>
                <w:color w:val="auto"/>
                <w:kern w:val="0"/>
                <w:sz w:val="24"/>
              </w:rPr>
              <w:t>。涵盖上述所有内容且对上述各项内容描述全面、详细，可行性高，</w:t>
            </w:r>
            <w:r>
              <w:rPr>
                <w:rFonts w:hint="eastAsia" w:ascii="宋体" w:hAnsi="宋体" w:eastAsia="宋体" w:cs="宋体"/>
                <w:color w:val="auto"/>
                <w:kern w:val="0"/>
                <w:sz w:val="24"/>
                <w:lang w:val="en-US" w:eastAsia="zh-CN"/>
              </w:rPr>
              <w:t>完全满足且优于项目需求的，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7</w:t>
            </w:r>
            <w:r>
              <w:rPr>
                <w:rFonts w:hint="eastAsia" w:ascii="宋体" w:hAnsi="宋体" w:eastAsia="宋体" w:cs="宋体"/>
                <w:color w:val="auto"/>
                <w:kern w:val="0"/>
                <w:sz w:val="24"/>
              </w:rPr>
              <w:t>分；涵盖上述所有内容且对上述各项内容描述较全面、较详细，可行性较高，</w:t>
            </w:r>
            <w:r>
              <w:rPr>
                <w:rFonts w:hint="eastAsia" w:ascii="宋体" w:hAnsi="宋体" w:eastAsia="宋体" w:cs="宋体"/>
                <w:color w:val="auto"/>
                <w:kern w:val="0"/>
                <w:sz w:val="24"/>
                <w:lang w:val="en-US" w:eastAsia="zh-CN"/>
              </w:rPr>
              <w:t>完全满足项目需求的，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5</w:t>
            </w:r>
            <w:r>
              <w:rPr>
                <w:rFonts w:hint="eastAsia" w:ascii="宋体" w:hAnsi="宋体" w:eastAsia="宋体" w:cs="宋体"/>
                <w:color w:val="auto"/>
                <w:kern w:val="0"/>
                <w:sz w:val="24"/>
              </w:rPr>
              <w:t>分；涵盖上述所有内容且对上述各项内容描述基本全面、基本具体，可行性一般，</w:t>
            </w:r>
            <w:r>
              <w:rPr>
                <w:rFonts w:hint="eastAsia" w:ascii="宋体" w:hAnsi="宋体" w:eastAsia="宋体" w:cs="宋体"/>
                <w:color w:val="auto"/>
                <w:kern w:val="0"/>
                <w:sz w:val="24"/>
                <w:lang w:val="en-US" w:eastAsia="zh-CN"/>
              </w:rPr>
              <w:t>基本满足项目需求的，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2</w:t>
            </w:r>
            <w:r>
              <w:rPr>
                <w:rFonts w:hint="eastAsia" w:ascii="宋体" w:hAnsi="宋体" w:eastAsia="宋体" w:cs="宋体"/>
                <w:color w:val="auto"/>
                <w:kern w:val="0"/>
                <w:sz w:val="24"/>
              </w:rPr>
              <w:t>分；涵盖上述所有内容但对上述各项内容描述不够全面、不够具体，可行性低，</w:t>
            </w:r>
            <w:r>
              <w:rPr>
                <w:rFonts w:hint="eastAsia" w:ascii="宋体" w:hAnsi="宋体" w:eastAsia="宋体" w:cs="宋体"/>
                <w:color w:val="auto"/>
                <w:kern w:val="0"/>
                <w:sz w:val="24"/>
                <w:lang w:val="en-US" w:eastAsia="zh-CN"/>
              </w:rPr>
              <w:t>不能满足项目需求的，</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1</w:t>
            </w:r>
            <w:r>
              <w:rPr>
                <w:rFonts w:hint="eastAsia" w:ascii="宋体" w:hAnsi="宋体" w:eastAsia="宋体" w:cs="宋体"/>
                <w:color w:val="auto"/>
                <w:kern w:val="0"/>
                <w:sz w:val="24"/>
              </w:rPr>
              <w:t>分；不提供</w:t>
            </w:r>
            <w:r>
              <w:rPr>
                <w:rFonts w:hint="eastAsia" w:ascii="宋体" w:hAnsi="宋体" w:eastAsia="宋体" w:cs="宋体"/>
                <w:color w:val="auto"/>
                <w:kern w:val="0"/>
                <w:sz w:val="24"/>
                <w:lang w:val="en-US" w:eastAsia="zh-CN"/>
              </w:rPr>
              <w:t>方案</w:t>
            </w:r>
            <w:r>
              <w:rPr>
                <w:rFonts w:hint="eastAsia" w:ascii="宋体" w:hAnsi="宋体" w:eastAsia="宋体" w:cs="宋体"/>
                <w:color w:val="auto"/>
                <w:kern w:val="0"/>
                <w:sz w:val="24"/>
              </w:rPr>
              <w:t>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326" w:type="dxa"/>
            <w:vMerge w:val="restart"/>
            <w:noWrap w:val="0"/>
            <w:vAlign w:val="center"/>
          </w:tcPr>
          <w:p>
            <w:pPr>
              <w:widowControl/>
              <w:adjustRightInd w:val="0"/>
              <w:snapToGrid w:val="0"/>
              <w:spacing w:line="360" w:lineRule="auto"/>
              <w:jc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商务部分</w:t>
            </w:r>
          </w:p>
        </w:tc>
        <w:tc>
          <w:tcPr>
            <w:tcW w:w="1576" w:type="dxa"/>
            <w:noWrap w:val="0"/>
            <w:vAlign w:val="center"/>
          </w:tcPr>
          <w:p>
            <w:pPr>
              <w:widowControl/>
              <w:adjustRightInd w:val="0"/>
              <w:snapToGrid w:val="0"/>
              <w:spacing w:line="360" w:lineRule="auto"/>
              <w:jc w:val="center"/>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0"/>
                <w:sz w:val="24"/>
              </w:rPr>
              <w:t>单位资质</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10</w:t>
            </w:r>
            <w:r>
              <w:rPr>
                <w:rFonts w:hint="eastAsia" w:ascii="宋体" w:hAnsi="宋体" w:eastAsia="宋体" w:cs="宋体"/>
                <w:color w:val="auto"/>
                <w:kern w:val="0"/>
                <w:sz w:val="24"/>
              </w:rPr>
              <w:t>.0分</w:t>
            </w:r>
            <w:r>
              <w:rPr>
                <w:rFonts w:hint="eastAsia" w:ascii="宋体" w:hAnsi="宋体" w:eastAsia="宋体" w:cs="宋体"/>
                <w:color w:val="auto"/>
                <w:kern w:val="0"/>
                <w:sz w:val="24"/>
                <w:lang w:eastAsia="zh-CN"/>
              </w:rPr>
              <w:t>）</w:t>
            </w:r>
          </w:p>
        </w:tc>
        <w:tc>
          <w:tcPr>
            <w:tcW w:w="6169" w:type="dxa"/>
            <w:noWrap w:val="0"/>
            <w:vAlign w:val="top"/>
          </w:tcPr>
          <w:p>
            <w:pPr>
              <w:widowControl/>
              <w:adjustRightInd w:val="0"/>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1</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rPr>
              <w:t>具有有效期内的质量管理体系认证证书</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得1.5分；</w:t>
            </w:r>
          </w:p>
          <w:p>
            <w:pPr>
              <w:widowControl/>
              <w:adjustRightInd w:val="0"/>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2</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具有有效期内的信息安全管理体系认证证书，得1.5分</w:t>
            </w:r>
            <w:r>
              <w:rPr>
                <w:rFonts w:hint="eastAsia" w:ascii="宋体" w:hAnsi="宋体" w:eastAsia="宋体" w:cs="宋体"/>
                <w:color w:val="auto"/>
                <w:kern w:val="0"/>
                <w:sz w:val="24"/>
              </w:rPr>
              <w:t>；</w:t>
            </w:r>
          </w:p>
          <w:p>
            <w:pPr>
              <w:widowControl/>
              <w:numPr>
                <w:ilvl w:val="0"/>
                <w:numId w:val="2"/>
              </w:numPr>
              <w:adjustRightInd w:val="0"/>
              <w:snapToGrid w:val="0"/>
              <w:spacing w:line="360" w:lineRule="auto"/>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具有有效期内的信息技术服务管理体系认证证书，得1.5分；</w:t>
            </w:r>
          </w:p>
          <w:p>
            <w:pPr>
              <w:widowControl/>
              <w:numPr>
                <w:ilvl w:val="0"/>
                <w:numId w:val="2"/>
              </w:numPr>
              <w:adjustRightInd w:val="0"/>
              <w:snapToGrid w:val="0"/>
              <w:spacing w:line="360" w:lineRule="auto"/>
              <w:jc w:val="left"/>
              <w:rPr>
                <w:rFonts w:hint="default" w:ascii="宋体" w:hAnsi="宋体" w:eastAsia="宋体" w:cs="宋体"/>
                <w:color w:val="auto"/>
                <w:kern w:val="0"/>
                <w:sz w:val="24"/>
                <w:lang w:val="en-US" w:eastAsia="zh-CN"/>
              </w:rPr>
            </w:pPr>
            <w:r>
              <w:rPr>
                <w:rFonts w:hint="eastAsia" w:ascii="宋体" w:hAnsi="宋体" w:eastAsia="宋体" w:cs="宋体"/>
                <w:color w:val="auto"/>
                <w:kern w:val="0"/>
                <w:sz w:val="24"/>
                <w:szCs w:val="21"/>
                <w:lang w:val="en-US" w:eastAsia="zh-CN"/>
              </w:rPr>
              <w:t>具有数据安全风险评估服务能力相关认证证书，</w:t>
            </w:r>
            <w:r>
              <w:rPr>
                <w:rFonts w:hint="eastAsia" w:ascii="宋体" w:hAnsi="宋体" w:eastAsia="宋体" w:cs="宋体"/>
                <w:color w:val="auto"/>
                <w:kern w:val="0"/>
                <w:sz w:val="24"/>
                <w:lang w:val="en-US" w:eastAsia="zh-CN"/>
              </w:rPr>
              <w:t>得1.5分</w:t>
            </w:r>
            <w:r>
              <w:rPr>
                <w:rFonts w:hint="eastAsia" w:ascii="宋体" w:hAnsi="宋体" w:eastAsia="宋体" w:cs="宋体"/>
                <w:color w:val="auto"/>
                <w:kern w:val="0"/>
                <w:sz w:val="24"/>
                <w:lang w:eastAsia="zh-CN"/>
              </w:rPr>
              <w:t>；</w:t>
            </w:r>
          </w:p>
          <w:p>
            <w:pPr>
              <w:widowControl/>
              <w:adjustRightInd w:val="0"/>
              <w:snapToGrid w:val="0"/>
              <w:spacing w:line="360" w:lineRule="auto"/>
              <w:jc w:val="left"/>
              <w:rPr>
                <w:rFonts w:hint="eastAsia" w:ascii="宋体" w:hAnsi="宋体" w:eastAsia="宋体" w:cs="宋体"/>
                <w:color w:val="auto"/>
                <w:kern w:val="0"/>
                <w:sz w:val="24"/>
                <w:szCs w:val="21"/>
              </w:rPr>
            </w:pPr>
            <w:r>
              <w:rPr>
                <w:rFonts w:hint="eastAsia" w:ascii="宋体" w:hAnsi="宋体" w:eastAsia="宋体" w:cs="宋体"/>
                <w:color w:val="auto"/>
                <w:kern w:val="0"/>
                <w:sz w:val="24"/>
                <w:szCs w:val="21"/>
                <w:lang w:eastAsia="zh-CN"/>
              </w:rPr>
              <w:t>（</w:t>
            </w:r>
            <w:r>
              <w:rPr>
                <w:rFonts w:hint="eastAsia" w:ascii="宋体" w:hAnsi="宋体" w:eastAsia="宋体" w:cs="宋体"/>
                <w:color w:val="auto"/>
                <w:kern w:val="0"/>
                <w:sz w:val="24"/>
                <w:szCs w:val="21"/>
                <w:lang w:val="en-US" w:eastAsia="zh-CN"/>
              </w:rPr>
              <w:t>5</w:t>
            </w:r>
            <w:r>
              <w:rPr>
                <w:rFonts w:hint="eastAsia" w:ascii="宋体" w:hAnsi="宋体" w:eastAsia="宋体" w:cs="宋体"/>
                <w:color w:val="auto"/>
                <w:kern w:val="0"/>
                <w:sz w:val="24"/>
                <w:szCs w:val="21"/>
                <w:lang w:eastAsia="zh-CN"/>
              </w:rPr>
              <w:t>）</w:t>
            </w:r>
            <w:r>
              <w:rPr>
                <w:rFonts w:hint="eastAsia" w:ascii="宋体" w:hAnsi="宋体" w:eastAsia="宋体" w:cs="宋体"/>
                <w:color w:val="auto"/>
                <w:kern w:val="0"/>
                <w:sz w:val="24"/>
                <w:szCs w:val="21"/>
              </w:rPr>
              <w:t>具有国家版权局颁发的与</w:t>
            </w:r>
            <w:r>
              <w:rPr>
                <w:rFonts w:hint="eastAsia" w:ascii="宋体" w:hAnsi="宋体" w:eastAsia="宋体" w:cs="宋体"/>
                <w:color w:val="auto"/>
                <w:kern w:val="0"/>
                <w:sz w:val="24"/>
                <w:szCs w:val="21"/>
                <w:lang w:val="en-US" w:eastAsia="zh-CN"/>
              </w:rPr>
              <w:t>科技业务管理</w:t>
            </w:r>
            <w:r>
              <w:rPr>
                <w:rFonts w:hint="eastAsia" w:ascii="宋体" w:hAnsi="宋体" w:eastAsia="宋体" w:cs="宋体"/>
                <w:color w:val="auto"/>
                <w:kern w:val="0"/>
                <w:sz w:val="24"/>
                <w:szCs w:val="21"/>
              </w:rPr>
              <w:t>、</w:t>
            </w:r>
            <w:r>
              <w:rPr>
                <w:rFonts w:hint="eastAsia" w:ascii="宋体" w:hAnsi="宋体" w:eastAsia="宋体" w:cs="宋体"/>
                <w:color w:val="auto"/>
                <w:kern w:val="0"/>
                <w:sz w:val="24"/>
                <w:szCs w:val="21"/>
                <w:lang w:val="en-US" w:eastAsia="zh-CN"/>
              </w:rPr>
              <w:t>数据处理、</w:t>
            </w:r>
            <w:r>
              <w:rPr>
                <w:rFonts w:hint="eastAsia" w:ascii="宋体" w:hAnsi="宋体" w:eastAsia="宋体" w:cs="宋体"/>
                <w:color w:val="auto"/>
                <w:kern w:val="0"/>
                <w:sz w:val="24"/>
                <w:szCs w:val="21"/>
              </w:rPr>
              <w:t>电子政务相关的计算机软件著作权登记证书，每一个软件著作权得1分，最高得</w:t>
            </w:r>
            <w:r>
              <w:rPr>
                <w:rFonts w:hint="eastAsia" w:ascii="宋体" w:hAnsi="宋体" w:eastAsia="宋体" w:cs="宋体"/>
                <w:color w:val="auto"/>
                <w:kern w:val="0"/>
                <w:sz w:val="24"/>
                <w:szCs w:val="21"/>
                <w:lang w:val="en-US" w:eastAsia="zh-CN"/>
              </w:rPr>
              <w:t>4</w:t>
            </w:r>
            <w:r>
              <w:rPr>
                <w:rFonts w:hint="eastAsia" w:ascii="宋体" w:hAnsi="宋体" w:eastAsia="宋体" w:cs="宋体"/>
                <w:color w:val="auto"/>
                <w:kern w:val="0"/>
                <w:sz w:val="24"/>
                <w:szCs w:val="21"/>
              </w:rPr>
              <w:t>分，无不得分</w:t>
            </w:r>
            <w:r>
              <w:rPr>
                <w:rFonts w:hint="eastAsia" w:ascii="宋体" w:hAnsi="宋体" w:eastAsia="宋体" w:cs="宋体"/>
                <w:color w:val="auto"/>
                <w:kern w:val="0"/>
                <w:sz w:val="24"/>
                <w:szCs w:val="21"/>
                <w:lang w:val="en-US" w:eastAsia="zh-CN"/>
              </w:rPr>
              <w:t>。</w:t>
            </w:r>
          </w:p>
          <w:p>
            <w:pPr>
              <w:widowControl/>
              <w:adjustRightInd w:val="0"/>
              <w:snapToGrid w:val="0"/>
              <w:spacing w:line="360" w:lineRule="auto"/>
              <w:jc w:val="left"/>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0"/>
                <w:sz w:val="24"/>
                <w:szCs w:val="21"/>
                <w:lang w:val="en-US" w:eastAsia="zh-CN"/>
              </w:rPr>
              <w:t>【注:</w:t>
            </w:r>
            <w:r>
              <w:rPr>
                <w:rFonts w:hint="eastAsia" w:ascii="宋体" w:hAnsi="宋体" w:eastAsia="宋体" w:cs="宋体"/>
                <w:color w:val="auto"/>
                <w:kern w:val="0"/>
                <w:sz w:val="24"/>
                <w:szCs w:val="21"/>
              </w:rPr>
              <w:t>需提供相关证书复印件并加盖公章作为证明材料</w:t>
            </w:r>
            <w:r>
              <w:rPr>
                <w:rFonts w:hint="eastAsia" w:ascii="宋体" w:hAnsi="宋体" w:eastAsia="宋体" w:cs="宋体"/>
                <w:color w:val="auto"/>
                <w:kern w:val="0"/>
                <w:sz w:val="24"/>
                <w:szCs w:val="21"/>
                <w:lang w:val="en-US"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0" w:hRule="atLeast"/>
          <w:jc w:val="center"/>
        </w:trPr>
        <w:tc>
          <w:tcPr>
            <w:tcW w:w="1326" w:type="dxa"/>
            <w:vMerge w:val="continue"/>
            <w:noWrap w:val="0"/>
            <w:vAlign w:val="center"/>
          </w:tcPr>
          <w:p>
            <w:pPr>
              <w:widowControl/>
              <w:jc w:val="left"/>
              <w:rPr>
                <w:rFonts w:ascii="宋体" w:hAnsi="宋体" w:eastAsia="等线" w:cs="宋体"/>
                <w:color w:val="auto"/>
                <w:kern w:val="0"/>
                <w:sz w:val="24"/>
              </w:rPr>
            </w:pPr>
          </w:p>
        </w:tc>
        <w:tc>
          <w:tcPr>
            <w:tcW w:w="1576" w:type="dxa"/>
            <w:noWrap w:val="0"/>
            <w:vAlign w:val="center"/>
          </w:tcPr>
          <w:p>
            <w:pPr>
              <w:widowControl/>
              <w:jc w:val="left"/>
              <w:rPr>
                <w:rFonts w:ascii="宋体" w:hAnsi="宋体" w:eastAsia="等线" w:cs="宋体"/>
                <w:color w:val="auto"/>
                <w:kern w:val="0"/>
                <w:sz w:val="24"/>
              </w:rPr>
            </w:pPr>
          </w:p>
        </w:tc>
        <w:tc>
          <w:tcPr>
            <w:tcW w:w="6169" w:type="dxa"/>
            <w:noWrap w:val="0"/>
            <w:vAlign w:val="center"/>
          </w:tcPr>
          <w:p>
            <w:pPr>
              <w:widowControl/>
              <w:jc w:val="left"/>
              <w:rPr>
                <w:rFonts w:ascii="宋体" w:hAnsi="宋体" w:eastAsia="等线" w:cs="宋体"/>
                <w:color w:val="auto"/>
                <w:kern w:val="0"/>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0" w:hRule="atLeast"/>
          <w:jc w:val="center"/>
        </w:trPr>
        <w:tc>
          <w:tcPr>
            <w:tcW w:w="1326" w:type="dxa"/>
            <w:vMerge w:val="continue"/>
            <w:noWrap w:val="0"/>
            <w:vAlign w:val="center"/>
          </w:tcPr>
          <w:p>
            <w:pPr>
              <w:widowControl/>
              <w:adjustRightInd w:val="0"/>
              <w:snapToGrid w:val="0"/>
              <w:spacing w:line="360" w:lineRule="auto"/>
              <w:jc w:val="center"/>
              <w:rPr>
                <w:rFonts w:hint="eastAsia" w:ascii="宋体" w:hAnsi="宋体" w:eastAsia="宋体" w:cs="宋体"/>
                <w:color w:val="auto"/>
                <w:kern w:val="0"/>
                <w:sz w:val="24"/>
                <w:lang w:val="en-US" w:eastAsia="zh-CN"/>
              </w:rPr>
            </w:pPr>
          </w:p>
        </w:tc>
        <w:tc>
          <w:tcPr>
            <w:tcW w:w="1576" w:type="dxa"/>
            <w:noWrap w:val="0"/>
            <w:vAlign w:val="center"/>
          </w:tcPr>
          <w:p>
            <w:pPr>
              <w:widowControl/>
              <w:adjustRightInd w:val="0"/>
              <w:snapToGrid w:val="0"/>
              <w:spacing w:line="360" w:lineRule="auto"/>
              <w:jc w:val="center"/>
              <w:rPr>
                <w:rFonts w:hint="eastAsia" w:ascii="宋体" w:hAnsi="宋体" w:eastAsia="宋体" w:cs="宋体"/>
                <w:color w:val="auto"/>
                <w:kern w:val="0"/>
                <w:sz w:val="24"/>
              </w:rPr>
            </w:pPr>
            <w:r>
              <w:rPr>
                <w:rFonts w:hint="eastAsia" w:ascii="宋体" w:hAnsi="宋体" w:eastAsia="宋体" w:cs="宋体"/>
                <w:color w:val="auto"/>
                <w:kern w:val="0"/>
                <w:sz w:val="24"/>
              </w:rPr>
              <w:t>同类业绩</w:t>
            </w:r>
          </w:p>
          <w:p>
            <w:pPr>
              <w:widowControl/>
              <w:adjustRightInd w:val="0"/>
              <w:snapToGrid w:val="0"/>
              <w:spacing w:line="360" w:lineRule="auto"/>
              <w:jc w:val="center"/>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0"/>
                <w:sz w:val="24"/>
                <w:lang w:eastAsia="zh-CN"/>
              </w:rPr>
              <w:t>（</w:t>
            </w:r>
            <w:r>
              <w:rPr>
                <w:rFonts w:hint="eastAsia" w:ascii="宋体" w:hAnsi="宋体" w:eastAsia="宋体" w:cs="宋体"/>
                <w:color w:val="auto"/>
                <w:kern w:val="0"/>
                <w:sz w:val="24"/>
              </w:rPr>
              <w:t>1</w:t>
            </w:r>
            <w:r>
              <w:rPr>
                <w:rFonts w:hint="eastAsia" w:ascii="宋体" w:hAnsi="宋体" w:eastAsia="宋体" w:cs="宋体"/>
                <w:color w:val="auto"/>
                <w:kern w:val="0"/>
                <w:sz w:val="24"/>
                <w:lang w:val="en-US" w:eastAsia="zh-CN"/>
              </w:rPr>
              <w:t>0</w:t>
            </w:r>
            <w:r>
              <w:rPr>
                <w:rFonts w:hint="eastAsia" w:ascii="宋体" w:hAnsi="宋体" w:eastAsia="宋体" w:cs="宋体"/>
                <w:color w:val="auto"/>
                <w:kern w:val="0"/>
                <w:sz w:val="24"/>
              </w:rPr>
              <w:t>.0分</w:t>
            </w:r>
            <w:r>
              <w:rPr>
                <w:rFonts w:hint="eastAsia" w:ascii="宋体" w:hAnsi="宋体" w:eastAsia="宋体" w:cs="宋体"/>
                <w:color w:val="auto"/>
                <w:kern w:val="0"/>
                <w:sz w:val="24"/>
                <w:lang w:eastAsia="zh-CN"/>
              </w:rPr>
              <w:t>）</w:t>
            </w:r>
          </w:p>
        </w:tc>
        <w:tc>
          <w:tcPr>
            <w:tcW w:w="6169" w:type="dxa"/>
            <w:noWrap w:val="0"/>
            <w:vAlign w:val="top"/>
          </w:tcPr>
          <w:p>
            <w:pPr>
              <w:widowControl/>
              <w:adjustRightInd w:val="0"/>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lang w:eastAsia="zh-CN"/>
              </w:rPr>
              <w:t>供应商</w:t>
            </w:r>
            <w:r>
              <w:rPr>
                <w:rFonts w:hint="eastAsia" w:ascii="宋体" w:hAnsi="宋体" w:eastAsia="宋体" w:cs="宋体"/>
                <w:color w:val="auto"/>
                <w:kern w:val="0"/>
                <w:sz w:val="24"/>
              </w:rPr>
              <w:t>自2020年1月1日至今（以业绩合同签订时间为准）承接过同类项目（</w:t>
            </w:r>
            <w:r>
              <w:rPr>
                <w:rFonts w:hint="eastAsia" w:ascii="宋体" w:hAnsi="宋体" w:eastAsia="宋体" w:cs="宋体"/>
                <w:color w:val="auto"/>
                <w:kern w:val="0"/>
                <w:sz w:val="24"/>
                <w:lang w:val="en-US" w:eastAsia="zh-CN"/>
              </w:rPr>
              <w:t>数据安全类</w:t>
            </w:r>
            <w:r>
              <w:rPr>
                <w:rFonts w:hint="eastAsia" w:ascii="宋体" w:hAnsi="宋体" w:eastAsia="宋体" w:cs="宋体"/>
                <w:color w:val="auto"/>
                <w:kern w:val="0"/>
                <w:sz w:val="24"/>
              </w:rPr>
              <w:t>项目）业绩：每提供一项业绩得</w:t>
            </w:r>
            <w:r>
              <w:rPr>
                <w:rFonts w:hint="eastAsia" w:ascii="宋体" w:hAnsi="宋体" w:eastAsia="宋体" w:cs="宋体"/>
                <w:color w:val="auto"/>
                <w:kern w:val="0"/>
                <w:sz w:val="24"/>
                <w:lang w:val="en-US" w:eastAsia="zh-CN"/>
              </w:rPr>
              <w:t>2</w:t>
            </w:r>
            <w:r>
              <w:rPr>
                <w:rFonts w:hint="eastAsia" w:ascii="宋体" w:hAnsi="宋体" w:eastAsia="宋体" w:cs="宋体"/>
                <w:color w:val="auto"/>
                <w:kern w:val="0"/>
                <w:sz w:val="24"/>
              </w:rPr>
              <w:t>分，最高得1</w:t>
            </w:r>
            <w:r>
              <w:rPr>
                <w:rFonts w:hint="eastAsia" w:ascii="宋体" w:hAnsi="宋体" w:eastAsia="宋体" w:cs="宋体"/>
                <w:color w:val="auto"/>
                <w:kern w:val="0"/>
                <w:sz w:val="24"/>
                <w:lang w:val="en-US" w:eastAsia="zh-CN"/>
              </w:rPr>
              <w:t>0</w:t>
            </w:r>
            <w:r>
              <w:rPr>
                <w:rFonts w:hint="eastAsia" w:ascii="宋体" w:hAnsi="宋体" w:eastAsia="宋体" w:cs="宋体"/>
                <w:color w:val="auto"/>
                <w:kern w:val="0"/>
                <w:sz w:val="24"/>
              </w:rPr>
              <w:t>分。</w:t>
            </w:r>
          </w:p>
          <w:p>
            <w:pPr>
              <w:widowControl/>
              <w:adjustRightInd w:val="0"/>
              <w:snapToGrid w:val="0"/>
              <w:spacing w:line="360" w:lineRule="auto"/>
              <w:jc w:val="left"/>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0"/>
                <w:sz w:val="24"/>
              </w:rPr>
              <w:t>【注：须提供合同关键页</w:t>
            </w:r>
            <w:r>
              <w:rPr>
                <w:rFonts w:hint="eastAsia" w:ascii="宋体" w:hAnsi="宋体" w:eastAsia="宋体" w:cs="宋体"/>
                <w:color w:val="auto"/>
                <w:kern w:val="0"/>
                <w:sz w:val="24"/>
                <w:lang w:eastAsia="zh-CN"/>
              </w:rPr>
              <w:t>（含签订合同双方的单位名称、合同项目名称、合同关键内容页、落款盖章页等）</w:t>
            </w:r>
            <w:r>
              <w:rPr>
                <w:rFonts w:hint="eastAsia" w:ascii="宋体" w:hAnsi="宋体" w:eastAsia="宋体" w:cs="宋体"/>
                <w:color w:val="auto"/>
                <w:kern w:val="0"/>
                <w:sz w:val="24"/>
              </w:rPr>
              <w:t>复印件，否则不得分</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0" w:hRule="atLeast"/>
          <w:jc w:val="center"/>
        </w:trPr>
        <w:tc>
          <w:tcPr>
            <w:tcW w:w="1326" w:type="dxa"/>
            <w:vMerge w:val="continue"/>
            <w:noWrap w:val="0"/>
            <w:vAlign w:val="center"/>
          </w:tcPr>
          <w:p>
            <w:pPr>
              <w:widowControl/>
              <w:adjustRightInd w:val="0"/>
              <w:snapToGrid w:val="0"/>
              <w:spacing w:line="360" w:lineRule="auto"/>
              <w:jc w:val="center"/>
              <w:rPr>
                <w:rFonts w:hint="eastAsia" w:ascii="宋体" w:hAnsi="宋体" w:eastAsia="宋体" w:cs="宋体"/>
                <w:color w:val="auto"/>
                <w:kern w:val="0"/>
                <w:sz w:val="24"/>
                <w:lang w:val="en-US" w:eastAsia="zh-CN"/>
              </w:rPr>
            </w:pPr>
          </w:p>
        </w:tc>
        <w:tc>
          <w:tcPr>
            <w:tcW w:w="1576" w:type="dxa"/>
            <w:noWrap w:val="0"/>
            <w:vAlign w:val="center"/>
          </w:tcPr>
          <w:p>
            <w:pPr>
              <w:widowControl/>
              <w:adjustRightInd w:val="0"/>
              <w:snapToGrid w:val="0"/>
              <w:spacing w:line="360" w:lineRule="auto"/>
              <w:jc w:val="center"/>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val="en-US" w:eastAsia="zh-CN"/>
              </w:rPr>
              <w:t>项目团队</w:t>
            </w:r>
            <w:r>
              <w:rPr>
                <w:rFonts w:hint="eastAsia" w:ascii="宋体" w:hAnsi="宋体" w:eastAsia="宋体" w:cs="宋体"/>
                <w:color w:val="auto"/>
                <w:kern w:val="0"/>
                <w:sz w:val="24"/>
                <w:highlight w:val="none"/>
                <w:lang w:eastAsia="zh-CN"/>
              </w:rPr>
              <w:t>（</w:t>
            </w:r>
            <w:r>
              <w:rPr>
                <w:rFonts w:hint="eastAsia" w:ascii="宋体" w:hAnsi="宋体" w:eastAsia="宋体" w:cs="宋体"/>
                <w:color w:val="auto"/>
                <w:kern w:val="0"/>
                <w:sz w:val="24"/>
                <w:highlight w:val="none"/>
                <w:lang w:val="en-US" w:eastAsia="zh-CN"/>
              </w:rPr>
              <w:t>15.00</w:t>
            </w:r>
            <w:r>
              <w:rPr>
                <w:rFonts w:hint="eastAsia" w:ascii="宋体" w:hAnsi="宋体" w:eastAsia="宋体" w:cs="宋体"/>
                <w:color w:val="auto"/>
                <w:kern w:val="0"/>
                <w:sz w:val="24"/>
                <w:highlight w:val="none"/>
              </w:rPr>
              <w:t>分</w:t>
            </w:r>
            <w:r>
              <w:rPr>
                <w:rFonts w:hint="eastAsia" w:ascii="宋体" w:hAnsi="宋体" w:eastAsia="宋体" w:cs="宋体"/>
                <w:color w:val="auto"/>
                <w:kern w:val="0"/>
                <w:sz w:val="24"/>
                <w:highlight w:val="none"/>
                <w:lang w:eastAsia="zh-CN"/>
              </w:rPr>
              <w:t>）</w:t>
            </w:r>
          </w:p>
        </w:tc>
        <w:tc>
          <w:tcPr>
            <w:tcW w:w="6169" w:type="dxa"/>
            <w:noWrap w:val="0"/>
            <w:vAlign w:val="top"/>
          </w:tcPr>
          <w:p>
            <w:pPr>
              <w:widowControl/>
              <w:adjustRightInd w:val="0"/>
              <w:snapToGrid w:val="0"/>
              <w:spacing w:line="360" w:lineRule="auto"/>
              <w:jc w:val="left"/>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（1）项目经理</w:t>
            </w:r>
          </w:p>
          <w:p>
            <w:pPr>
              <w:widowControl/>
              <w:numPr>
                <w:ilvl w:val="0"/>
                <w:numId w:val="0"/>
              </w:numPr>
              <w:adjustRightInd w:val="0"/>
              <w:snapToGrid w:val="0"/>
              <w:spacing w:line="360" w:lineRule="auto"/>
              <w:jc w:val="left"/>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1.1具备数据安全类高级职称证书，得1.5分；</w:t>
            </w:r>
          </w:p>
          <w:p>
            <w:pPr>
              <w:widowControl/>
              <w:numPr>
                <w:ilvl w:val="0"/>
                <w:numId w:val="0"/>
              </w:numPr>
              <w:adjustRightInd w:val="0"/>
              <w:snapToGrid w:val="0"/>
              <w:spacing w:line="360" w:lineRule="auto"/>
              <w:jc w:val="left"/>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1.2具备</w:t>
            </w:r>
            <w:r>
              <w:rPr>
                <w:rFonts w:hint="eastAsia" w:ascii="宋体" w:hAnsi="宋体" w:eastAsia="宋体" w:cs="宋体"/>
                <w:i w:val="0"/>
                <w:iCs w:val="0"/>
                <w:caps w:val="0"/>
                <w:color w:val="auto"/>
                <w:spacing w:val="0"/>
                <w:kern w:val="0"/>
                <w:sz w:val="24"/>
                <w:szCs w:val="24"/>
                <w:highlight w:val="none"/>
                <w:shd w:val="clear" w:color="auto" w:fill="auto"/>
              </w:rPr>
              <w:t>项目经理资格认证</w:t>
            </w:r>
            <w:r>
              <w:rPr>
                <w:rFonts w:hint="eastAsia" w:ascii="宋体" w:hAnsi="宋体" w:eastAsia="宋体" w:cs="宋体"/>
                <w:i w:val="0"/>
                <w:iCs w:val="0"/>
                <w:caps w:val="0"/>
                <w:color w:val="auto"/>
                <w:spacing w:val="0"/>
                <w:kern w:val="0"/>
                <w:sz w:val="24"/>
                <w:szCs w:val="24"/>
                <w:highlight w:val="none"/>
                <w:shd w:val="clear" w:color="auto" w:fill="auto"/>
                <w:lang w:eastAsia="zh-CN"/>
              </w:rPr>
              <w:t>（</w:t>
            </w:r>
            <w:r>
              <w:rPr>
                <w:rFonts w:hint="eastAsia" w:ascii="宋体" w:hAnsi="宋体" w:eastAsia="宋体" w:cs="宋体"/>
                <w:i w:val="0"/>
                <w:iCs w:val="0"/>
                <w:caps w:val="0"/>
                <w:color w:val="auto"/>
                <w:spacing w:val="0"/>
                <w:kern w:val="0"/>
                <w:sz w:val="24"/>
                <w:szCs w:val="24"/>
                <w:highlight w:val="none"/>
                <w:shd w:val="clear" w:color="auto" w:fill="auto"/>
                <w:lang w:val="en-US" w:eastAsia="zh-CN"/>
              </w:rPr>
              <w:t>PMP</w:t>
            </w:r>
            <w:r>
              <w:rPr>
                <w:rFonts w:hint="eastAsia" w:ascii="宋体" w:hAnsi="宋体" w:eastAsia="宋体" w:cs="宋体"/>
                <w:i w:val="0"/>
                <w:iCs w:val="0"/>
                <w:caps w:val="0"/>
                <w:color w:val="auto"/>
                <w:spacing w:val="0"/>
                <w:kern w:val="0"/>
                <w:sz w:val="24"/>
                <w:szCs w:val="24"/>
                <w:highlight w:val="none"/>
                <w:shd w:val="clear" w:color="auto" w:fill="auto"/>
                <w:lang w:eastAsia="zh-CN"/>
              </w:rPr>
              <w:t>）</w:t>
            </w:r>
            <w:r>
              <w:rPr>
                <w:rFonts w:hint="eastAsia" w:ascii="宋体" w:hAnsi="宋体" w:eastAsia="宋体" w:cs="宋体"/>
                <w:i w:val="0"/>
                <w:iCs w:val="0"/>
                <w:caps w:val="0"/>
                <w:color w:val="auto"/>
                <w:spacing w:val="0"/>
                <w:kern w:val="0"/>
                <w:sz w:val="24"/>
                <w:szCs w:val="24"/>
                <w:highlight w:val="none"/>
                <w:shd w:val="clear" w:color="auto" w:fill="auto"/>
                <w:lang w:val="en-US" w:eastAsia="zh-CN"/>
              </w:rPr>
              <w:t>证书，得1.5分；</w:t>
            </w:r>
          </w:p>
          <w:p>
            <w:pPr>
              <w:widowControl/>
              <w:numPr>
                <w:ilvl w:val="0"/>
                <w:numId w:val="0"/>
              </w:numPr>
              <w:adjustRightInd w:val="0"/>
              <w:snapToGrid w:val="0"/>
              <w:spacing w:line="360" w:lineRule="auto"/>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1.3具备高级信息系统项目管理师，得1.5分；</w:t>
            </w:r>
          </w:p>
          <w:p>
            <w:pPr>
              <w:widowControl/>
              <w:numPr>
                <w:ilvl w:val="0"/>
                <w:numId w:val="0"/>
              </w:numPr>
              <w:adjustRightInd w:val="0"/>
              <w:snapToGrid w:val="0"/>
              <w:spacing w:line="360" w:lineRule="auto"/>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1.4具备</w:t>
            </w:r>
            <w:r>
              <w:rPr>
                <w:rFonts w:hint="eastAsia" w:ascii="宋体" w:hAnsi="宋体" w:eastAsia="宋体" w:cs="宋体"/>
                <w:color w:val="auto"/>
                <w:kern w:val="0"/>
                <w:sz w:val="24"/>
              </w:rPr>
              <w:t>信息系统安全专业认证</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CISSP</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证书，得1.5分；</w:t>
            </w:r>
          </w:p>
          <w:p>
            <w:pPr>
              <w:widowControl/>
              <w:numPr>
                <w:ilvl w:val="0"/>
                <w:numId w:val="0"/>
              </w:numPr>
              <w:adjustRightInd w:val="0"/>
              <w:snapToGrid w:val="0"/>
              <w:spacing w:line="360" w:lineRule="auto"/>
              <w:jc w:val="left"/>
              <w:rPr>
                <w:rFonts w:ascii="宋体" w:hAnsi="宋体" w:eastAsia="等线" w:cs="宋体"/>
                <w:color w:val="auto"/>
                <w:kern w:val="0"/>
                <w:sz w:val="24"/>
              </w:rPr>
            </w:pPr>
            <w:r>
              <w:rPr>
                <w:rFonts w:hint="eastAsia" w:ascii="宋体" w:hAnsi="宋体" w:eastAsia="宋体" w:cs="宋体"/>
                <w:color w:val="auto"/>
                <w:kern w:val="0"/>
                <w:sz w:val="24"/>
                <w:lang w:val="en-US" w:eastAsia="zh-CN"/>
              </w:rPr>
              <w:t>1.5具备注册信息安全专业人员（CISP-CISE）证书，得1.5分；</w:t>
            </w:r>
          </w:p>
          <w:p>
            <w:pPr>
              <w:widowControl/>
              <w:adjustRightInd w:val="0"/>
              <w:snapToGrid w:val="0"/>
              <w:spacing w:line="360" w:lineRule="auto"/>
              <w:jc w:val="left"/>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（2）项目团队成员</w:t>
            </w:r>
          </w:p>
          <w:p>
            <w:pPr>
              <w:widowControl/>
              <w:adjustRightInd w:val="0"/>
              <w:snapToGrid w:val="0"/>
              <w:spacing w:line="360" w:lineRule="auto"/>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highlight w:val="none"/>
                <w:lang w:val="en-US" w:eastAsia="zh-CN"/>
              </w:rPr>
              <w:t>2.1</w:t>
            </w:r>
            <w:r>
              <w:rPr>
                <w:rFonts w:hint="eastAsia" w:ascii="宋体" w:hAnsi="宋体" w:eastAsia="宋体" w:cs="宋体"/>
                <w:color w:val="auto"/>
                <w:kern w:val="0"/>
                <w:sz w:val="24"/>
                <w:highlight w:val="none"/>
              </w:rPr>
              <w:t>具有</w:t>
            </w:r>
            <w:r>
              <w:rPr>
                <w:rFonts w:hint="eastAsia" w:ascii="宋体" w:hAnsi="宋体" w:eastAsia="宋体" w:cs="宋体"/>
                <w:color w:val="auto"/>
                <w:kern w:val="0"/>
                <w:sz w:val="24"/>
                <w:highlight w:val="none"/>
                <w:lang w:val="en-US" w:eastAsia="zh-CN"/>
              </w:rPr>
              <w:t>数据安全</w:t>
            </w:r>
            <w:r>
              <w:rPr>
                <w:rFonts w:hint="eastAsia" w:ascii="宋体" w:hAnsi="宋体" w:eastAsia="宋体" w:cs="宋体"/>
                <w:color w:val="auto"/>
                <w:kern w:val="0"/>
                <w:sz w:val="24"/>
                <w:highlight w:val="none"/>
              </w:rPr>
              <w:t>类</w:t>
            </w:r>
            <w:r>
              <w:rPr>
                <w:rFonts w:hint="eastAsia" w:ascii="宋体" w:hAnsi="宋体" w:eastAsia="宋体" w:cs="宋体"/>
                <w:color w:val="auto"/>
                <w:kern w:val="0"/>
                <w:sz w:val="24"/>
                <w:highlight w:val="none"/>
                <w:lang w:val="en-US" w:eastAsia="zh-CN"/>
              </w:rPr>
              <w:t>中级</w:t>
            </w:r>
            <w:r>
              <w:rPr>
                <w:rFonts w:hint="eastAsia" w:ascii="宋体" w:hAnsi="宋体" w:eastAsia="宋体" w:cs="宋体"/>
                <w:color w:val="auto"/>
                <w:kern w:val="0"/>
                <w:sz w:val="24"/>
                <w:highlight w:val="none"/>
              </w:rPr>
              <w:t>或以上技术职称，</w:t>
            </w:r>
            <w:r>
              <w:rPr>
                <w:rFonts w:hint="eastAsia" w:ascii="宋体" w:hAnsi="宋体" w:eastAsia="宋体" w:cs="宋体"/>
                <w:color w:val="auto"/>
                <w:kern w:val="0"/>
                <w:sz w:val="24"/>
              </w:rPr>
              <w:t>每提供一</w:t>
            </w:r>
            <w:r>
              <w:rPr>
                <w:rFonts w:hint="eastAsia" w:ascii="宋体" w:hAnsi="宋体" w:eastAsia="宋体" w:cs="宋体"/>
                <w:color w:val="auto"/>
                <w:kern w:val="0"/>
                <w:sz w:val="24"/>
                <w:lang w:val="en-US" w:eastAsia="zh-CN"/>
              </w:rPr>
              <w:t>个</w:t>
            </w:r>
            <w:r>
              <w:rPr>
                <w:rFonts w:hint="eastAsia" w:ascii="宋体" w:hAnsi="宋体" w:eastAsia="宋体" w:cs="宋体"/>
                <w:color w:val="auto"/>
                <w:kern w:val="0"/>
                <w:sz w:val="24"/>
              </w:rPr>
              <w:t>得</w:t>
            </w:r>
            <w:r>
              <w:rPr>
                <w:rFonts w:hint="eastAsia" w:ascii="宋体" w:hAnsi="宋体" w:eastAsia="宋体" w:cs="宋体"/>
                <w:color w:val="auto"/>
                <w:kern w:val="0"/>
                <w:sz w:val="24"/>
                <w:lang w:val="en-US" w:eastAsia="zh-CN"/>
              </w:rPr>
              <w:t>1.5</w:t>
            </w:r>
            <w:r>
              <w:rPr>
                <w:rFonts w:hint="eastAsia" w:ascii="宋体" w:hAnsi="宋体" w:eastAsia="宋体" w:cs="宋体"/>
                <w:color w:val="auto"/>
                <w:kern w:val="0"/>
                <w:sz w:val="24"/>
              </w:rPr>
              <w:t>分，最高得</w:t>
            </w:r>
            <w:r>
              <w:rPr>
                <w:rFonts w:hint="eastAsia" w:ascii="宋体" w:hAnsi="宋体" w:eastAsia="宋体" w:cs="宋体"/>
                <w:color w:val="auto"/>
                <w:kern w:val="0"/>
                <w:sz w:val="24"/>
                <w:lang w:val="en-US" w:eastAsia="zh-CN"/>
              </w:rPr>
              <w:t>7.5</w:t>
            </w:r>
            <w:r>
              <w:rPr>
                <w:rFonts w:hint="eastAsia" w:ascii="宋体" w:hAnsi="宋体" w:eastAsia="宋体" w:cs="宋体"/>
                <w:color w:val="auto"/>
                <w:kern w:val="0"/>
                <w:sz w:val="24"/>
              </w:rPr>
              <w:t>分</w:t>
            </w:r>
            <w:r>
              <w:rPr>
                <w:rFonts w:hint="eastAsia" w:ascii="宋体" w:hAnsi="宋体" w:eastAsia="宋体" w:cs="宋体"/>
                <w:color w:val="auto"/>
                <w:kern w:val="0"/>
                <w:sz w:val="24"/>
                <w:highlight w:val="none"/>
                <w:lang w:eastAsia="zh-CN"/>
              </w:rPr>
              <w:t>。</w:t>
            </w:r>
          </w:p>
          <w:p>
            <w:pPr>
              <w:widowControl/>
              <w:adjustRightInd w:val="0"/>
              <w:snapToGrid w:val="0"/>
              <w:spacing w:line="360" w:lineRule="auto"/>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【注：须提供上述人员的</w:t>
            </w:r>
            <w:r>
              <w:rPr>
                <w:rFonts w:hint="eastAsia" w:ascii="宋体" w:hAnsi="宋体" w:eastAsia="宋体" w:cs="宋体"/>
                <w:color w:val="auto"/>
                <w:kern w:val="0"/>
                <w:sz w:val="24"/>
                <w:highlight w:val="none"/>
                <w:lang w:val="en-US" w:eastAsia="zh-CN"/>
              </w:rPr>
              <w:t>相关技术职称</w:t>
            </w:r>
            <w:r>
              <w:rPr>
                <w:rFonts w:hint="eastAsia" w:ascii="宋体" w:hAnsi="宋体" w:eastAsia="宋体" w:cs="宋体"/>
                <w:color w:val="auto"/>
                <w:kern w:val="0"/>
                <w:sz w:val="24"/>
                <w:highlight w:val="none"/>
              </w:rPr>
              <w:t>证书复印件</w:t>
            </w:r>
            <w:r>
              <w:rPr>
                <w:rFonts w:hint="eastAsia" w:ascii="宋体" w:hAnsi="宋体" w:eastAsia="宋体" w:cs="宋体"/>
                <w:color w:val="auto"/>
                <w:kern w:val="0"/>
                <w:sz w:val="24"/>
                <w:highlight w:val="none"/>
                <w:lang w:eastAsia="zh-CN"/>
              </w:rPr>
              <w:t>，一人多证者仅计算一次，不重复计分。</w:t>
            </w:r>
            <w:r>
              <w:rPr>
                <w:rFonts w:hint="eastAsia" w:ascii="宋体" w:hAnsi="宋体" w:eastAsia="宋体" w:cs="宋体"/>
                <w:color w:val="auto"/>
                <w:kern w:val="0"/>
                <w:sz w:val="24"/>
                <w:highlight w:val="none"/>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326" w:type="dxa"/>
            <w:noWrap w:val="0"/>
            <w:vAlign w:val="center"/>
          </w:tcPr>
          <w:p>
            <w:pPr>
              <w:widowControl/>
              <w:adjustRightInd w:val="0"/>
              <w:snapToGrid w:val="0"/>
              <w:spacing w:line="360" w:lineRule="auto"/>
              <w:jc w:val="center"/>
              <w:rPr>
                <w:rFonts w:hint="eastAsia" w:ascii="宋体" w:hAnsi="宋体" w:eastAsia="宋体" w:cs="宋体"/>
                <w:color w:val="auto"/>
                <w:kern w:val="0"/>
                <w:sz w:val="24"/>
              </w:rPr>
            </w:pPr>
            <w:r>
              <w:rPr>
                <w:rFonts w:hint="eastAsia" w:ascii="宋体" w:hAnsi="宋体" w:eastAsia="宋体" w:cs="宋体"/>
                <w:color w:val="auto"/>
                <w:kern w:val="0"/>
                <w:sz w:val="24"/>
              </w:rPr>
              <w:t>投标报价</w:t>
            </w:r>
          </w:p>
        </w:tc>
        <w:tc>
          <w:tcPr>
            <w:tcW w:w="1576" w:type="dxa"/>
            <w:noWrap w:val="0"/>
            <w:vAlign w:val="center"/>
          </w:tcPr>
          <w:p>
            <w:pPr>
              <w:widowControl/>
              <w:adjustRightInd w:val="0"/>
              <w:snapToGrid w:val="0"/>
              <w:spacing w:line="360" w:lineRule="auto"/>
              <w:jc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rPr>
              <w:t>投标报价得分</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1</w:t>
            </w:r>
            <w:r>
              <w:rPr>
                <w:rFonts w:hint="eastAsia" w:ascii="宋体" w:hAnsi="宋体" w:eastAsia="宋体" w:cs="宋体"/>
                <w:color w:val="auto"/>
                <w:kern w:val="0"/>
                <w:sz w:val="24"/>
              </w:rPr>
              <w:t>0.0分</w:t>
            </w:r>
            <w:r>
              <w:rPr>
                <w:rFonts w:hint="eastAsia" w:ascii="宋体" w:hAnsi="宋体" w:eastAsia="宋体" w:cs="宋体"/>
                <w:color w:val="auto"/>
                <w:kern w:val="0"/>
                <w:sz w:val="24"/>
                <w:lang w:eastAsia="zh-CN"/>
              </w:rPr>
              <w:t>）</w:t>
            </w:r>
          </w:p>
        </w:tc>
        <w:tc>
          <w:tcPr>
            <w:tcW w:w="6169" w:type="dxa"/>
            <w:noWrap w:val="0"/>
            <w:vAlign w:val="top"/>
          </w:tcPr>
          <w:p>
            <w:pPr>
              <w:widowControl/>
              <w:adjustRightInd w:val="0"/>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价格得分＝（评标基准价/评标价）×价格分值（注：满足采购文件要求且评标价最低的为评标基准价。）</w:t>
            </w:r>
          </w:p>
        </w:tc>
      </w:tr>
    </w:tbl>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altName w:val="方正舒体"/>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44B4D"/>
    <w:multiLevelType w:val="multilevel"/>
    <w:tmpl w:val="04544B4D"/>
    <w:lvl w:ilvl="0" w:tentative="0">
      <w:start w:val="1"/>
      <w:numFmt w:val="decimal"/>
      <w:pStyle w:val="2"/>
      <w:suff w:val="space"/>
      <w:lvlText w:val="%1."/>
      <w:lvlJc w:val="left"/>
      <w:pPr>
        <w:ind w:left="0" w:firstLine="0"/>
      </w:pPr>
      <w:rPr>
        <w:rFonts w:hint="default" w:ascii="Times New Roman" w:hAnsi="Times New Roman" w:cs="Times New Roman"/>
      </w:rPr>
    </w:lvl>
    <w:lvl w:ilvl="1" w:tentative="0">
      <w:start w:val="1"/>
      <w:numFmt w:val="decimal"/>
      <w:pStyle w:val="3"/>
      <w:suff w:val="space"/>
      <w:lvlText w:val="%1.%2."/>
      <w:lvlJc w:val="left"/>
      <w:pPr>
        <w:ind w:left="0" w:firstLine="0"/>
      </w:pPr>
      <w:rPr>
        <w:rFonts w:hint="default" w:ascii="Times New Roman" w:hAnsi="Times New Roman" w:cs="Times New Roman"/>
      </w:rPr>
    </w:lvl>
    <w:lvl w:ilvl="2" w:tentative="0">
      <w:start w:val="1"/>
      <w:numFmt w:val="decimal"/>
      <w:pStyle w:val="5"/>
      <w:suff w:val="space"/>
      <w:lvlText w:val="%1.%2.%3."/>
      <w:lvlJc w:val="left"/>
      <w:pPr>
        <w:ind w:left="0" w:firstLine="0"/>
      </w:pPr>
      <w:rPr>
        <w:rFonts w:hint="default" w:ascii="Times New Roman" w:hAnsi="Times New Roman" w:cs="Times New Roman"/>
        <w:b w:val="0"/>
        <w:bCs/>
      </w:rPr>
    </w:lvl>
    <w:lvl w:ilvl="3" w:tentative="0">
      <w:start w:val="1"/>
      <w:numFmt w:val="decimal"/>
      <w:pStyle w:val="7"/>
      <w:suff w:val="space"/>
      <w:lvlText w:val="%1.%2.%3.%4."/>
      <w:lvlJc w:val="left"/>
      <w:pPr>
        <w:ind w:left="0" w:firstLine="0"/>
      </w:pPr>
      <w:rPr>
        <w:rFonts w:hint="default" w:ascii="Times New Roman" w:hAnsi="Times New Roman" w:cs="Times New Roman"/>
        <w:b w:val="0"/>
        <w:bCs w:val="0"/>
      </w:rPr>
    </w:lvl>
    <w:lvl w:ilvl="4" w:tentative="0">
      <w:start w:val="1"/>
      <w:numFmt w:val="decimal"/>
      <w:suff w:val="space"/>
      <w:lvlText w:val="%1.%2.%3.%4.%5."/>
      <w:lvlJc w:val="left"/>
      <w:pPr>
        <w:ind w:left="0" w:firstLine="0"/>
      </w:pPr>
      <w:rPr>
        <w:rFonts w:hint="default" w:ascii="Times New Roman" w:hAnsi="Times New Roman" w:cs="Times New Roman"/>
        <w:b w:val="0"/>
        <w:bCs w:val="0"/>
      </w:rPr>
    </w:lvl>
    <w:lvl w:ilvl="5" w:tentative="0">
      <w:start w:val="1"/>
      <w:numFmt w:val="decimal"/>
      <w:suff w:val="space"/>
      <w:lvlText w:val="%1.%2.%3.%4.%5.%6."/>
      <w:lvlJc w:val="left"/>
      <w:pPr>
        <w:ind w:left="0" w:firstLine="0"/>
      </w:pPr>
      <w:rPr>
        <w:rFonts w:hint="default" w:ascii="Times New Roman" w:hAnsi="Times New Roman" w:cs="Times New Roman"/>
        <w:b w:val="0"/>
        <w:bCs w:val="0"/>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
    <w:nsid w:val="7FDE5E1F"/>
    <w:multiLevelType w:val="singleLevel"/>
    <w:tmpl w:val="7FDE5E1F"/>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017C7ED5"/>
    <w:rsid w:val="0CC506C3"/>
    <w:rsid w:val="0DA64F0C"/>
    <w:rsid w:val="40466DA3"/>
    <w:rsid w:val="44F27B47"/>
    <w:rsid w:val="5C6D77C6"/>
    <w:rsid w:val="68FD1B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9"/>
    <w:pPr>
      <w:widowControl/>
      <w:numPr>
        <w:ilvl w:val="0"/>
        <w:numId w:val="1"/>
      </w:numPr>
      <w:jc w:val="left"/>
      <w:outlineLvl w:val="0"/>
    </w:pPr>
    <w:rPr>
      <w:rFonts w:ascii="宋体" w:hAnsi="宋体" w:eastAsia="黑体" w:cs="宋体"/>
      <w:kern w:val="0"/>
      <w:sz w:val="30"/>
      <w:szCs w:val="30"/>
      <w:lang w:val="en-US" w:eastAsia="zh-CN" w:bidi="ar-SA"/>
    </w:rPr>
  </w:style>
  <w:style w:type="paragraph" w:styleId="3">
    <w:name w:val="heading 2"/>
    <w:next w:val="4"/>
    <w:qFormat/>
    <w:uiPriority w:val="0"/>
    <w:pPr>
      <w:keepNext/>
      <w:numPr>
        <w:ilvl w:val="1"/>
        <w:numId w:val="1"/>
      </w:numPr>
      <w:spacing w:before="156" w:beforeLines="50" w:after="156" w:afterLines="50"/>
      <w:outlineLvl w:val="1"/>
    </w:pPr>
    <w:rPr>
      <w:rFonts w:ascii="楷体_GB2312" w:hAnsi="楷体_GB2312" w:eastAsia="楷体_GB2312" w:cs="宋体"/>
      <w:kern w:val="0"/>
      <w:sz w:val="28"/>
      <w:szCs w:val="28"/>
      <w:lang w:val="en-US" w:eastAsia="zh-CN" w:bidi="ar-SA"/>
    </w:rPr>
  </w:style>
  <w:style w:type="paragraph" w:styleId="5">
    <w:name w:val="heading 3"/>
    <w:next w:val="6"/>
    <w:qFormat/>
    <w:uiPriority w:val="0"/>
    <w:pPr>
      <w:keepNext/>
      <w:numPr>
        <w:ilvl w:val="2"/>
        <w:numId w:val="1"/>
      </w:numPr>
      <w:spacing w:before="78" w:beforeLines="25" w:after="78" w:afterLines="25"/>
      <w:outlineLvl w:val="2"/>
    </w:pPr>
    <w:rPr>
      <w:rFonts w:ascii="仿宋_GB2312" w:hAnsi="仿宋_GB2312" w:eastAsia="仿宋_GB2312" w:cs="宋体"/>
      <w:b/>
      <w:kern w:val="0"/>
      <w:sz w:val="28"/>
      <w:szCs w:val="28"/>
      <w:lang w:val="en-US" w:eastAsia="zh-CN" w:bidi="ar-SA"/>
    </w:rPr>
  </w:style>
  <w:style w:type="paragraph" w:styleId="7">
    <w:name w:val="heading 4"/>
    <w:next w:val="1"/>
    <w:qFormat/>
    <w:uiPriority w:val="0"/>
    <w:pPr>
      <w:keepNext/>
      <w:keepLines/>
      <w:numPr>
        <w:ilvl w:val="3"/>
        <w:numId w:val="1"/>
      </w:numPr>
      <w:outlineLvl w:val="3"/>
    </w:pPr>
    <w:rPr>
      <w:rFonts w:ascii="仿宋_GB2312" w:hAnsi="仿宋_GB2312" w:eastAsia="仿宋_GB2312" w:cs="宋体"/>
      <w:b/>
      <w:bCs/>
      <w:sz w:val="28"/>
      <w:szCs w:val="28"/>
      <w:lang w:val="en-US" w:eastAsia="zh-CN" w:bidi="ar-SA"/>
    </w:rPr>
  </w:style>
  <w:style w:type="character" w:default="1" w:styleId="13">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customStyle="1" w:styleId="4">
    <w:name w:val="正文-方案"/>
    <w:qFormat/>
    <w:uiPriority w:val="0"/>
    <w:pPr>
      <w:snapToGrid w:val="0"/>
      <w:spacing w:after="0" w:line="560" w:lineRule="exact"/>
      <w:ind w:firstLine="200" w:firstLineChars="200"/>
    </w:pPr>
    <w:rPr>
      <w:rFonts w:ascii="Times New Roman" w:hAnsi="Times New Roman" w:eastAsia="仿宋_GB2312" w:cs="宋体"/>
      <w:sz w:val="28"/>
      <w:szCs w:val="24"/>
      <w:lang w:val="en-US" w:eastAsia="zh-CN" w:bidi="ar-SA"/>
    </w:rPr>
  </w:style>
  <w:style w:type="paragraph" w:customStyle="1" w:styleId="6">
    <w:name w:val="_正文段落"/>
    <w:autoRedefine/>
    <w:qFormat/>
    <w:uiPriority w:val="0"/>
    <w:pPr>
      <w:widowControl/>
      <w:ind w:firstLine="200" w:firstLineChars="200"/>
      <w:contextualSpacing/>
    </w:pPr>
    <w:rPr>
      <w:rFonts w:ascii="宋体" w:hAnsi="宋体" w:eastAsia="等线" w:cs="宋体"/>
      <w:kern w:val="0"/>
      <w:sz w:val="28"/>
      <w:szCs w:val="24"/>
      <w:lang w:val="en-US" w:eastAsia="zh-CN" w:bidi="ar-SA"/>
    </w:rPr>
  </w:style>
  <w:style w:type="paragraph" w:styleId="8">
    <w:name w:val="Body Text"/>
    <w:unhideWhenUsed/>
    <w:qFormat/>
    <w:uiPriority w:val="0"/>
    <w:pPr>
      <w:snapToGrid w:val="0"/>
      <w:spacing w:after="120" w:line="360" w:lineRule="auto"/>
      <w:ind w:firstLine="200" w:firstLineChars="200"/>
    </w:pPr>
    <w:rPr>
      <w:rFonts w:ascii="宋体" w:hAnsi="宋体" w:eastAsia="等线" w:cs="宋体"/>
      <w:sz w:val="24"/>
      <w:szCs w:val="24"/>
      <w:lang w:val="en-US" w:eastAsia="zh-CN" w:bidi="ar-SA"/>
    </w:rPr>
  </w:style>
  <w:style w:type="paragraph" w:styleId="9">
    <w:name w:val="footer"/>
    <w:qFormat/>
    <w:uiPriority w:val="0"/>
    <w:pPr>
      <w:tabs>
        <w:tab w:val="center" w:pos="4153"/>
        <w:tab w:val="right" w:pos="8306"/>
      </w:tabs>
      <w:snapToGrid w:val="0"/>
      <w:jc w:val="left"/>
    </w:pPr>
    <w:rPr>
      <w:rFonts w:ascii="宋体" w:hAnsi="宋体" w:eastAsia="等线" w:cs="宋体"/>
      <w:kern w:val="0"/>
      <w:sz w:val="18"/>
      <w:szCs w:val="18"/>
      <w:lang w:val="en-US" w:eastAsia="zh-CN" w:bidi="ar-SA"/>
    </w:rPr>
  </w:style>
  <w:style w:type="paragraph" w:styleId="10">
    <w:name w:val="header"/>
    <w:qFormat/>
    <w:uiPriority w:val="0"/>
    <w:pPr>
      <w:pBdr>
        <w:bottom w:val="single" w:color="auto" w:sz="6" w:space="1"/>
      </w:pBdr>
      <w:tabs>
        <w:tab w:val="center" w:pos="4153"/>
        <w:tab w:val="right" w:pos="8306"/>
      </w:tabs>
      <w:snapToGrid w:val="0"/>
      <w:jc w:val="center"/>
    </w:pPr>
    <w:rPr>
      <w:rFonts w:ascii="宋体" w:hAnsi="宋体" w:eastAsia="等线" w:cs="宋体"/>
      <w:kern w:val="0"/>
      <w:sz w:val="18"/>
      <w:szCs w:val="18"/>
      <w:lang w:val="en-US" w:eastAsia="zh-CN" w:bidi="ar-SA"/>
    </w:rPr>
  </w:style>
  <w:style w:type="paragraph" w:styleId="11">
    <w:name w:val="toc 2"/>
    <w:next w:val="1"/>
    <w:unhideWhenUsed/>
    <w:qFormat/>
    <w:uiPriority w:val="39"/>
    <w:pPr>
      <w:ind w:left="420" w:leftChars="200"/>
    </w:pPr>
    <w:rPr>
      <w:rFonts w:ascii="宋体" w:hAnsi="宋体" w:eastAsia="等线" w:cs="宋体"/>
      <w:sz w:val="24"/>
      <w:szCs w:val="24"/>
      <w:lang w:val="en-US" w:eastAsia="zh-CN" w:bidi="ar-SA"/>
    </w:rPr>
  </w:style>
  <w:style w:type="character" w:styleId="14">
    <w:name w:val="page number"/>
    <w:qFormat/>
    <w:uiPriority w:val="99"/>
  </w:style>
  <w:style w:type="paragraph" w:customStyle="1" w:styleId="15">
    <w:name w:val="一级标题"/>
    <w:autoRedefine/>
    <w:qFormat/>
    <w:uiPriority w:val="0"/>
    <w:pPr>
      <w:numPr>
        <w:ilvl w:val="0"/>
        <w:numId w:val="1"/>
      </w:numPr>
      <w:jc w:val="left"/>
      <w:outlineLvl w:val="0"/>
    </w:pPr>
    <w:rPr>
      <w:rFonts w:ascii="黑体" w:hAnsi="宋体" w:eastAsia="黑体" w:cs="宋体"/>
      <w:sz w:val="30"/>
      <w:szCs w:val="3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2024-03-14T09:04:00Z</dcterms:created>
  <dc:creator>Administrator</dc:creator>
  <cp:lastModifiedBy>黄宝强</cp:lastModifiedBy>
  <dcterms:modified xsi:type="dcterms:W3CDTF">2024-04-03T02:33:37Z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C42FD10F82C64A8FB1B5285086539BC8_12</vt:lpwstr>
  </property>
</Properties>
</file>