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ind w:left="-141" w:leftChars="-67" w:firstLine="167" w:firstLineChars="38"/>
        <w:jc w:val="center"/>
        <w:outlineLvl w:val="0"/>
        <w:rPr>
          <w:rFonts w:hint="eastAsia" w:ascii="华文中宋" w:hAnsi="华文中宋" w:eastAsia="华文中宋" w:cs="方正小标宋简体"/>
          <w:b/>
          <w:bCs/>
          <w:color w:val="auto"/>
          <w:kern w:val="0"/>
          <w:sz w:val="44"/>
          <w:szCs w:val="44"/>
          <w:lang w:val="en-US" w:eastAsia="zh-CN"/>
        </w:rPr>
      </w:pPr>
      <w:r>
        <w:rPr>
          <w:rFonts w:hint="eastAsia" w:ascii="华文中宋" w:hAnsi="华文中宋" w:eastAsia="华文中宋" w:cs="方正小标宋简体"/>
          <w:b/>
          <w:bCs/>
          <w:color w:val="auto"/>
          <w:kern w:val="0"/>
          <w:sz w:val="44"/>
          <w:szCs w:val="44"/>
        </w:rPr>
        <w:t>项目采购需求</w:t>
      </w:r>
      <w:r>
        <w:rPr>
          <w:rFonts w:hint="eastAsia" w:ascii="华文中宋" w:hAnsi="华文中宋" w:eastAsia="华文中宋" w:cs="方正小标宋简体"/>
          <w:b/>
          <w:bCs/>
          <w:color w:val="auto"/>
          <w:kern w:val="0"/>
          <w:sz w:val="44"/>
          <w:szCs w:val="44"/>
          <w:lang w:val="en-US" w:eastAsia="zh-CN"/>
        </w:rPr>
        <w:t>书</w:t>
      </w:r>
    </w:p>
    <w:p>
      <w:pPr>
        <w:rPr>
          <w:rFonts w:ascii="黑体" w:hAnsi="宋体" w:eastAsia="黑体"/>
          <w:color w:val="auto"/>
          <w:sz w:val="28"/>
          <w:szCs w:val="32"/>
        </w:rPr>
      </w:pPr>
    </w:p>
    <w:p>
      <w:pPr>
        <w:pStyle w:val="7"/>
        <w:jc w:val="both"/>
        <w:rPr>
          <w:rFonts w:ascii="Times New Roman" w:hAnsi="Times New Roman"/>
          <w:color w:val="auto"/>
        </w:rPr>
      </w:pPr>
      <w:r>
        <w:rPr>
          <w:rFonts w:ascii="Times New Roman" w:hAnsi="Times New Roman"/>
          <w:color w:val="auto"/>
        </w:rPr>
        <w:t>项目概况</w:t>
      </w:r>
    </w:p>
    <w:p>
      <w:pPr>
        <w:pStyle w:val="8"/>
        <w:jc w:val="both"/>
        <w:rPr>
          <w:rFonts w:ascii="Times New Roman" w:hAnsi="Times New Roman"/>
          <w:color w:val="auto"/>
        </w:rPr>
      </w:pPr>
      <w:r>
        <w:rPr>
          <w:rFonts w:ascii="Times New Roman" w:hAnsi="Times New Roman"/>
          <w:color w:val="auto"/>
        </w:rPr>
        <w:t>基本信息</w:t>
      </w:r>
    </w:p>
    <w:p>
      <w:pPr>
        <w:pStyle w:val="9"/>
        <w:jc w:val="both"/>
        <w:rPr>
          <w:rFonts w:ascii="Times New Roman" w:hAnsi="Times New Roman"/>
          <w:color w:val="auto"/>
        </w:rPr>
      </w:pPr>
      <w:r>
        <w:rPr>
          <w:rFonts w:ascii="Times New Roman" w:hAnsi="Times New Roman"/>
          <w:color w:val="auto"/>
        </w:rPr>
        <w:t>项目名称</w:t>
      </w:r>
    </w:p>
    <w:p>
      <w:pPr>
        <w:ind w:firstLine="560" w:firstLineChars="200"/>
        <w:rPr>
          <w:rFonts w:eastAsia="仿宋_GB2312"/>
          <w:color w:val="auto"/>
          <w:sz w:val="28"/>
          <w:szCs w:val="28"/>
        </w:rPr>
      </w:pPr>
      <w:r>
        <w:rPr>
          <w:rFonts w:hint="eastAsia" w:eastAsia="仿宋_GB2312"/>
          <w:color w:val="auto"/>
          <w:sz w:val="28"/>
          <w:szCs w:val="28"/>
        </w:rPr>
        <w:t>省科研管理公共服务平台国产化及商密改造（2024年）项目（系统业务运营服务）</w:t>
      </w:r>
      <w:r>
        <w:rPr>
          <w:rFonts w:eastAsia="仿宋_GB2312"/>
          <w:color w:val="auto"/>
          <w:sz w:val="28"/>
          <w:szCs w:val="28"/>
        </w:rPr>
        <w:t>。</w:t>
      </w:r>
    </w:p>
    <w:p>
      <w:pPr>
        <w:pStyle w:val="9"/>
        <w:jc w:val="both"/>
        <w:rPr>
          <w:rFonts w:ascii="Times New Roman" w:hAnsi="Times New Roman"/>
          <w:color w:val="auto"/>
        </w:rPr>
      </w:pPr>
      <w:r>
        <w:rPr>
          <w:rFonts w:ascii="Times New Roman" w:hAnsi="Times New Roman"/>
          <w:color w:val="auto"/>
        </w:rPr>
        <w:t>采购人</w:t>
      </w:r>
    </w:p>
    <w:p>
      <w:pPr>
        <w:ind w:firstLine="560" w:firstLineChars="200"/>
        <w:rPr>
          <w:rFonts w:eastAsia="仿宋_GB2312"/>
          <w:color w:val="auto"/>
          <w:sz w:val="28"/>
          <w:szCs w:val="28"/>
        </w:rPr>
      </w:pPr>
      <w:r>
        <w:rPr>
          <w:rFonts w:hint="eastAsia" w:eastAsia="仿宋_GB2312"/>
          <w:color w:val="auto"/>
          <w:sz w:val="28"/>
          <w:szCs w:val="28"/>
        </w:rPr>
        <w:t>广东省科技创新监测研究中心</w:t>
      </w:r>
      <w:r>
        <w:rPr>
          <w:rFonts w:eastAsia="仿宋_GB2312"/>
          <w:color w:val="auto"/>
          <w:sz w:val="28"/>
          <w:szCs w:val="28"/>
        </w:rPr>
        <w:t>。</w:t>
      </w:r>
    </w:p>
    <w:p>
      <w:pPr>
        <w:pStyle w:val="9"/>
        <w:jc w:val="both"/>
        <w:rPr>
          <w:rFonts w:ascii="Times New Roman" w:hAnsi="Times New Roman"/>
          <w:color w:val="auto"/>
        </w:rPr>
      </w:pPr>
      <w:r>
        <w:rPr>
          <w:rFonts w:ascii="Times New Roman" w:hAnsi="Times New Roman"/>
          <w:color w:val="auto"/>
        </w:rPr>
        <w:t>用户单位</w:t>
      </w:r>
    </w:p>
    <w:p>
      <w:pPr>
        <w:ind w:firstLine="560" w:firstLineChars="200"/>
        <w:rPr>
          <w:rFonts w:eastAsia="仿宋_GB2312"/>
          <w:color w:val="auto"/>
          <w:sz w:val="28"/>
          <w:szCs w:val="28"/>
        </w:rPr>
      </w:pPr>
      <w:r>
        <w:rPr>
          <w:rFonts w:hint="eastAsia" w:eastAsia="仿宋_GB2312"/>
          <w:color w:val="auto"/>
          <w:sz w:val="28"/>
          <w:szCs w:val="28"/>
        </w:rPr>
        <w:t>项目用户单位为科研管理公共服务平台</w:t>
      </w:r>
      <w:r>
        <w:rPr>
          <w:rFonts w:hint="eastAsia" w:eastAsia="仿宋_GB2312"/>
          <w:color w:val="auto"/>
          <w:sz w:val="28"/>
          <w:szCs w:val="28"/>
          <w:lang w:eastAsia="zh-Hans"/>
        </w:rPr>
        <w:t>（以下简称平台或系统）</w:t>
      </w:r>
      <w:r>
        <w:rPr>
          <w:rFonts w:hint="eastAsia" w:eastAsia="仿宋_GB2312"/>
          <w:color w:val="auto"/>
          <w:sz w:val="28"/>
          <w:szCs w:val="28"/>
        </w:rPr>
        <w:t>相关管理单位与使用单位，包括但不限于平台建设相关承建单位、建设单位、各省实验室、企事业单位、监管机构。所涉及用户包括系统管理人员、技术/服务人员、各省实验室内部用户（包括省实验室领导、综合部、科研部、财务部等各部门）、企事业单位管理员、申报人、评审专家、监管机构用户。</w:t>
      </w:r>
    </w:p>
    <w:p>
      <w:pPr>
        <w:pStyle w:val="9"/>
        <w:jc w:val="both"/>
        <w:rPr>
          <w:rFonts w:ascii="Times New Roman" w:hAnsi="Times New Roman"/>
          <w:color w:val="auto"/>
        </w:rPr>
      </w:pPr>
      <w:r>
        <w:rPr>
          <w:rFonts w:ascii="Times New Roman" w:hAnsi="Times New Roman"/>
          <w:color w:val="auto"/>
        </w:rPr>
        <w:t>项目总体目标</w:t>
      </w:r>
    </w:p>
    <w:p>
      <w:pPr>
        <w:ind w:firstLine="560" w:firstLineChars="200"/>
        <w:rPr>
          <w:rFonts w:hint="eastAsia" w:eastAsia="仿宋_GB2312"/>
          <w:color w:val="auto"/>
          <w:sz w:val="28"/>
          <w:szCs w:val="28"/>
        </w:rPr>
      </w:pPr>
      <w:r>
        <w:rPr>
          <w:rFonts w:hint="eastAsia" w:eastAsia="仿宋_GB2312"/>
          <w:color w:val="auto"/>
          <w:sz w:val="28"/>
          <w:szCs w:val="28"/>
        </w:rPr>
        <w:t>为使科研管理公共服务平台能支撑省实验室业务管理新需求，并持续保障科研管理公共服务平台稳定、可靠、安全、高效、不间断运行，2024年，通过升级改造科研管理公共服务平台业务功能，满足省实验室业务管理的新需求。</w:t>
      </w:r>
    </w:p>
    <w:p>
      <w:pPr>
        <w:ind w:firstLine="560" w:firstLineChars="200"/>
        <w:rPr>
          <w:rFonts w:hint="eastAsia" w:eastAsia="仿宋_GB2312"/>
          <w:color w:val="auto"/>
          <w:sz w:val="28"/>
          <w:szCs w:val="28"/>
        </w:rPr>
      </w:pPr>
      <w:r>
        <w:rPr>
          <w:rFonts w:hint="eastAsia" w:eastAsia="仿宋_GB2312"/>
          <w:color w:val="auto"/>
          <w:sz w:val="28"/>
          <w:szCs w:val="28"/>
        </w:rPr>
        <w:t>一、根据国家、省、市政策要求，按照GB/T 39786-2021《信息系统密码应用基本要求》中等级保护第二级信息系统的密码应用要求，依托完全自主可控的核心密码防护技术，对系统进行密码支撑与应用设计，从物理和环境安全、网络和通信安全、设备和计算安全、应用和数据安全等方面进行密码应用改造，最终保障系统在身份识别、安全隔离、信息加密、完整性保护等方面的密码防护，为信息系统的安全可靠运行提供全面高效的密码支撑；同时对系统应用于国产化服务器、国产化操作系统、国产化中间件以及国产化数据库等进行国产化改造。</w:t>
      </w:r>
    </w:p>
    <w:p>
      <w:pPr>
        <w:ind w:firstLine="560" w:firstLineChars="200"/>
        <w:rPr>
          <w:rFonts w:eastAsia="仿宋_GB2312"/>
          <w:color w:val="auto"/>
          <w:sz w:val="28"/>
          <w:szCs w:val="28"/>
        </w:rPr>
      </w:pPr>
      <w:r>
        <w:rPr>
          <w:rFonts w:hint="eastAsia" w:eastAsia="仿宋_GB2312"/>
          <w:color w:val="auto"/>
          <w:sz w:val="28"/>
          <w:szCs w:val="28"/>
        </w:rPr>
        <w:t>二、支撑省实验室业务创新发展。通过本项目实施，对科研管理公共服务平台数据监控，集约化管理，可视化表单管理，PDF可视化管理，数据可视化管理，移动端管理，数据备份管理等模块进行升级改造，调整优化业务表单流程，配置，查看方式，满足省实验室平台实际工作需求，提升行政效能，支撑省实验室业务的创新发展。</w:t>
      </w:r>
    </w:p>
    <w:p>
      <w:pPr>
        <w:pStyle w:val="9"/>
        <w:jc w:val="both"/>
        <w:rPr>
          <w:rFonts w:ascii="Times New Roman" w:hAnsi="Times New Roman"/>
          <w:color w:val="auto"/>
        </w:rPr>
      </w:pPr>
      <w:r>
        <w:rPr>
          <w:rFonts w:ascii="Times New Roman" w:hAnsi="Times New Roman"/>
          <w:color w:val="auto"/>
        </w:rPr>
        <w:t>服务地点</w:t>
      </w:r>
    </w:p>
    <w:p>
      <w:pPr>
        <w:ind w:firstLine="560" w:firstLineChars="200"/>
        <w:jc w:val="left"/>
        <w:rPr>
          <w:rFonts w:hint="eastAsia" w:ascii="仿宋_GB2312" w:eastAsia="仿宋_GB2312"/>
          <w:iCs/>
          <w:color w:val="auto"/>
          <w:sz w:val="28"/>
          <w:szCs w:val="28"/>
        </w:rPr>
      </w:pPr>
      <w:r>
        <w:rPr>
          <w:rFonts w:hint="eastAsia" w:ascii="仿宋_GB2312" w:eastAsia="仿宋_GB2312"/>
          <w:iCs/>
          <w:color w:val="auto"/>
          <w:sz w:val="28"/>
          <w:szCs w:val="28"/>
        </w:rPr>
        <w:t>采购人指定地点。</w:t>
      </w:r>
    </w:p>
    <w:p>
      <w:pPr>
        <w:pStyle w:val="8"/>
        <w:jc w:val="both"/>
        <w:rPr>
          <w:rFonts w:ascii="Times New Roman" w:hAnsi="Times New Roman"/>
          <w:color w:val="auto"/>
        </w:rPr>
      </w:pPr>
      <w:r>
        <w:rPr>
          <w:rFonts w:hint="eastAsia" w:ascii="Times New Roman" w:hAnsi="Times New Roman"/>
          <w:color w:val="auto"/>
        </w:rPr>
        <w:t>项目背景</w:t>
      </w:r>
    </w:p>
    <w:p>
      <w:pPr>
        <w:pStyle w:val="9"/>
        <w:jc w:val="both"/>
        <w:rPr>
          <w:rFonts w:ascii="Times New Roman" w:hAnsi="Times New Roman"/>
          <w:color w:val="auto"/>
        </w:rPr>
      </w:pPr>
      <w:r>
        <w:rPr>
          <w:rFonts w:hint="eastAsia" w:ascii="Times New Roman" w:hAnsi="Times New Roman"/>
          <w:color w:val="auto"/>
        </w:rPr>
        <w:t>平台现状</w:t>
      </w:r>
    </w:p>
    <w:p>
      <w:pPr>
        <w:ind w:firstLine="560" w:firstLineChars="200"/>
        <w:rPr>
          <w:rFonts w:hint="eastAsia" w:eastAsia="仿宋_GB2312"/>
          <w:color w:val="auto"/>
          <w:sz w:val="28"/>
          <w:szCs w:val="28"/>
          <w:lang w:eastAsia="zh-Hans"/>
        </w:rPr>
      </w:pPr>
      <w:r>
        <w:rPr>
          <w:rFonts w:hint="eastAsia" w:eastAsia="仿宋_GB2312"/>
          <w:color w:val="auto"/>
          <w:sz w:val="28"/>
          <w:szCs w:val="28"/>
          <w:lang w:eastAsia="zh-Hans"/>
        </w:rPr>
        <w:t>科研管理公共服务平台为省实验室提供管理服务，实现指南征集、申报受理、评审管理、立项审批、合同管理、过程管理、项目验收等实验室项目全生命周期统一平台管理，支持广大省实验室工作者、各企事业单位、各省实验室主管部门等所有用户同一平台办公。目前，科研管理公共服务平台已有单位用户约1.7万家，个人用户约9万人，专家约2万人。</w:t>
      </w:r>
    </w:p>
    <w:p>
      <w:pPr>
        <w:pStyle w:val="9"/>
        <w:jc w:val="both"/>
        <w:rPr>
          <w:rFonts w:hint="eastAsia" w:ascii="Times New Roman" w:hAnsi="Times New Roman"/>
          <w:color w:val="auto"/>
          <w:kern w:val="0"/>
        </w:rPr>
      </w:pPr>
      <w:r>
        <w:rPr>
          <w:rFonts w:hint="eastAsia" w:ascii="Times New Roman" w:hAnsi="Times New Roman"/>
          <w:color w:val="auto"/>
          <w:kern w:val="0"/>
        </w:rPr>
        <w:t>系统业务运营服务</w:t>
      </w:r>
    </w:p>
    <w:p>
      <w:pPr>
        <w:ind w:firstLine="560" w:firstLineChars="200"/>
        <w:rPr>
          <w:rFonts w:ascii="仿宋_GB2312" w:eastAsia="仿宋_GB2312"/>
          <w:iCs/>
          <w:color w:val="auto"/>
          <w:sz w:val="28"/>
          <w:szCs w:val="28"/>
        </w:rPr>
      </w:pPr>
      <w:r>
        <w:rPr>
          <w:rFonts w:hint="eastAsia" w:eastAsia="仿宋_GB2312"/>
          <w:color w:val="auto"/>
          <w:sz w:val="28"/>
          <w:szCs w:val="28"/>
        </w:rPr>
        <w:t>2022年，</w:t>
      </w:r>
      <w:r>
        <w:rPr>
          <w:rFonts w:hint="eastAsia" w:eastAsia="仿宋_GB2312"/>
          <w:color w:val="auto"/>
          <w:sz w:val="28"/>
          <w:szCs w:val="28"/>
          <w:lang w:eastAsia="zh-Hans"/>
        </w:rPr>
        <w:t>科研管理公共服务平台业务运营服务主要包括为科研管理公共服务平台（省实验室子系统）系统管理、业务运营、数据处理、数据服务等运营服务</w:t>
      </w:r>
      <w:r>
        <w:rPr>
          <w:rFonts w:hint="eastAsia" w:eastAsia="仿宋_GB2312"/>
          <w:color w:val="auto"/>
          <w:sz w:val="28"/>
          <w:szCs w:val="28"/>
        </w:rPr>
        <w:t>。</w:t>
      </w:r>
    </w:p>
    <w:p>
      <w:pPr>
        <w:pStyle w:val="7"/>
        <w:jc w:val="both"/>
        <w:rPr>
          <w:rFonts w:ascii="Times New Roman" w:hAnsi="Times New Roman"/>
          <w:color w:val="auto"/>
        </w:rPr>
      </w:pPr>
      <w:r>
        <w:rPr>
          <w:rFonts w:ascii="Times New Roman" w:hAnsi="Times New Roman"/>
          <w:color w:val="auto"/>
        </w:rPr>
        <w:t>项目预算</w:t>
      </w:r>
    </w:p>
    <w:p>
      <w:pPr>
        <w:ind w:firstLine="560" w:firstLineChars="200"/>
        <w:rPr>
          <w:rFonts w:eastAsia="楷体_GB2312"/>
          <w:i/>
          <w:color w:val="auto"/>
          <w:sz w:val="28"/>
          <w:szCs w:val="28"/>
        </w:rPr>
      </w:pPr>
      <w:r>
        <w:rPr>
          <w:rFonts w:eastAsia="仿宋_GB2312"/>
          <w:color w:val="auto"/>
          <w:sz w:val="28"/>
          <w:szCs w:val="28"/>
        </w:rPr>
        <w:t>本项目总预算为</w:t>
      </w:r>
      <w:r>
        <w:rPr>
          <w:rFonts w:eastAsia="仿宋_GB2312"/>
          <w:color w:val="auto"/>
          <w:sz w:val="28"/>
          <w:szCs w:val="28"/>
          <w:u w:val="single"/>
        </w:rPr>
        <w:t xml:space="preserve"> 85.5 </w:t>
      </w:r>
      <w:r>
        <w:rPr>
          <w:rFonts w:eastAsia="仿宋_GB2312"/>
          <w:color w:val="auto"/>
          <w:sz w:val="28"/>
          <w:szCs w:val="28"/>
        </w:rPr>
        <w:t>万元</w:t>
      </w:r>
      <w:r>
        <w:rPr>
          <w:rFonts w:hint="eastAsia" w:eastAsia="楷体_GB2312"/>
          <w:i/>
          <w:color w:val="auto"/>
          <w:sz w:val="28"/>
          <w:szCs w:val="28"/>
        </w:rPr>
        <w:t>。</w:t>
      </w:r>
    </w:p>
    <w:p>
      <w:pPr>
        <w:pStyle w:val="7"/>
        <w:jc w:val="both"/>
        <w:rPr>
          <w:rFonts w:ascii="Times New Roman" w:hAnsi="Times New Roman"/>
          <w:color w:val="auto"/>
        </w:rPr>
      </w:pPr>
      <w:r>
        <w:rPr>
          <w:rFonts w:ascii="Times New Roman" w:hAnsi="Times New Roman"/>
          <w:color w:val="auto"/>
        </w:rPr>
        <w:t>服务期限</w:t>
      </w:r>
    </w:p>
    <w:p>
      <w:pPr>
        <w:ind w:firstLine="560" w:firstLineChars="200"/>
        <w:rPr>
          <w:rFonts w:hint="eastAsia" w:ascii="仿宋_GB2312" w:eastAsia="仿宋_GB2312"/>
          <w:iCs/>
          <w:color w:val="auto"/>
          <w:sz w:val="28"/>
          <w:szCs w:val="28"/>
        </w:rPr>
      </w:pPr>
      <w:r>
        <w:rPr>
          <w:rFonts w:hint="eastAsia" w:ascii="仿宋_GB2312" w:eastAsia="仿宋_GB2312"/>
          <w:iCs/>
          <w:color w:val="auto"/>
          <w:sz w:val="28"/>
          <w:szCs w:val="28"/>
        </w:rPr>
        <w:t>以合同签订之日为服务起始时间，服务期为</w:t>
      </w:r>
      <w:r>
        <w:rPr>
          <w:rFonts w:ascii="仿宋_GB2312" w:eastAsia="仿宋_GB2312"/>
          <w:iCs/>
          <w:color w:val="auto"/>
          <w:sz w:val="28"/>
          <w:szCs w:val="28"/>
          <w:u w:val="single"/>
        </w:rPr>
        <w:t>12</w:t>
      </w:r>
      <w:r>
        <w:rPr>
          <w:rFonts w:hint="eastAsia" w:ascii="仿宋_GB2312" w:eastAsia="仿宋_GB2312"/>
          <w:iCs/>
          <w:color w:val="auto"/>
          <w:sz w:val="28"/>
          <w:szCs w:val="28"/>
        </w:rPr>
        <w:t>个月，具体以合同为准。</w:t>
      </w:r>
    </w:p>
    <w:p>
      <w:pPr>
        <w:pStyle w:val="7"/>
        <w:jc w:val="both"/>
        <w:rPr>
          <w:rFonts w:ascii="Times New Roman" w:hAnsi="Times New Roman"/>
          <w:color w:val="auto"/>
        </w:rPr>
      </w:pPr>
      <w:r>
        <w:rPr>
          <w:rFonts w:ascii="Times New Roman" w:hAnsi="Times New Roman"/>
          <w:color w:val="auto"/>
        </w:rPr>
        <w:t>服务内容</w:t>
      </w:r>
    </w:p>
    <w:p>
      <w:pPr>
        <w:pStyle w:val="8"/>
        <w:jc w:val="both"/>
        <w:rPr>
          <w:rFonts w:hint="eastAsia" w:ascii="Times New Roman" w:hAnsi="Times New Roman"/>
          <w:color w:val="auto"/>
        </w:rPr>
      </w:pPr>
      <w:r>
        <w:rPr>
          <w:rFonts w:hint="eastAsia" w:ascii="Times New Roman" w:hAnsi="Times New Roman"/>
          <w:color w:val="auto"/>
        </w:rPr>
        <w:t>系统业务运营服务</w:t>
      </w:r>
    </w:p>
    <w:p>
      <w:pPr>
        <w:pStyle w:val="9"/>
        <w:jc w:val="both"/>
        <w:rPr>
          <w:rFonts w:hint="eastAsia" w:ascii="Times New Roman" w:hAnsi="Times New Roman"/>
          <w:color w:val="auto"/>
        </w:rPr>
      </w:pPr>
      <w:r>
        <w:rPr>
          <w:rFonts w:hint="eastAsia" w:ascii="Times New Roman" w:hAnsi="Times New Roman"/>
          <w:color w:val="auto"/>
        </w:rPr>
        <w:t>业务管理运营服务</w:t>
      </w:r>
    </w:p>
    <w:p>
      <w:pPr>
        <w:pStyle w:val="10"/>
        <w:rPr>
          <w:rFonts w:hint="eastAsia"/>
          <w:color w:val="auto"/>
        </w:rPr>
      </w:pPr>
      <w:r>
        <w:rPr>
          <w:rFonts w:hint="eastAsia"/>
          <w:color w:val="auto"/>
        </w:rPr>
        <w:t>可视化表单适应性配置服务</w:t>
      </w:r>
    </w:p>
    <w:p>
      <w:pPr>
        <w:ind w:firstLine="560" w:firstLineChars="200"/>
        <w:rPr>
          <w:rFonts w:hint="eastAsia" w:eastAsia="仿宋_GB2312"/>
          <w:color w:val="auto"/>
          <w:sz w:val="28"/>
          <w:szCs w:val="28"/>
        </w:rPr>
      </w:pPr>
      <w:r>
        <w:rPr>
          <w:rFonts w:hint="eastAsia" w:eastAsia="仿宋_GB2312"/>
          <w:color w:val="auto"/>
          <w:sz w:val="28"/>
          <w:szCs w:val="28"/>
        </w:rPr>
        <w:t>可视化表单适应性配置服务是指根据科研管理公共服务平台要求对项目业务表单进行配置前，为了加快表单配置效率，对可视化表单的通用组件，通用页面，校验规则，根据业务需求对接口适应性进行分析、业务接口适应配置及测试；达到快速配置表单，提高表单配置效率。</w:t>
      </w:r>
    </w:p>
    <w:p>
      <w:pPr>
        <w:pStyle w:val="11"/>
        <w:rPr>
          <w:rFonts w:hint="eastAsia"/>
          <w:color w:val="auto"/>
        </w:rPr>
      </w:pPr>
      <w:r>
        <w:rPr>
          <w:rFonts w:hint="eastAsia"/>
          <w:color w:val="auto"/>
        </w:rPr>
        <w:t>组件配置服务</w:t>
      </w:r>
    </w:p>
    <w:p>
      <w:pPr>
        <w:ind w:firstLine="560" w:firstLineChars="200"/>
        <w:rPr>
          <w:rFonts w:hint="eastAsia" w:eastAsia="仿宋_GB2312"/>
          <w:color w:val="auto"/>
          <w:sz w:val="28"/>
          <w:szCs w:val="28"/>
        </w:rPr>
      </w:pPr>
      <w:r>
        <w:rPr>
          <w:rFonts w:hint="eastAsia" w:eastAsia="仿宋_GB2312"/>
          <w:color w:val="auto"/>
          <w:sz w:val="28"/>
          <w:szCs w:val="28"/>
        </w:rPr>
        <w:t>通过组件修改配置，完成对按钮,级联下拉框,复选框,选择列表,折叠面板,下拉选项,表单框架,输入框,多选下拉框,分页组件,表格等11个组件的配置升级。</w:t>
      </w:r>
    </w:p>
    <w:p>
      <w:pPr>
        <w:ind w:firstLine="560" w:firstLineChars="200"/>
        <w:rPr>
          <w:rFonts w:eastAsia="仿宋_GB2312"/>
          <w:color w:val="auto"/>
          <w:sz w:val="28"/>
          <w:szCs w:val="28"/>
        </w:rPr>
      </w:pPr>
    </w:p>
    <w:p>
      <w:pPr>
        <w:pStyle w:val="11"/>
        <w:rPr>
          <w:rFonts w:hint="eastAsia"/>
          <w:color w:val="auto"/>
        </w:rPr>
      </w:pPr>
      <w:r>
        <w:rPr>
          <w:rFonts w:hint="eastAsia"/>
          <w:color w:val="auto"/>
        </w:rPr>
        <w:t>页面配置服务</w:t>
      </w:r>
    </w:p>
    <w:p>
      <w:pPr>
        <w:ind w:firstLine="560" w:firstLineChars="200"/>
        <w:rPr>
          <w:rFonts w:eastAsia="仿宋_GB2312"/>
          <w:color w:val="auto"/>
          <w:sz w:val="28"/>
          <w:szCs w:val="28"/>
        </w:rPr>
      </w:pPr>
      <w:r>
        <w:rPr>
          <w:rFonts w:hint="eastAsia" w:eastAsia="仿宋_GB2312"/>
          <w:color w:val="auto"/>
          <w:sz w:val="28"/>
          <w:szCs w:val="28"/>
        </w:rPr>
        <w:t>需要通过配置通用页面模块，完成对现有基础信息页面，参与人员页面，参与单位页面，可行性报告页面，附件列表页面，自查页面进行适应性配置，以满足新版表单的配置。</w:t>
      </w:r>
    </w:p>
    <w:p>
      <w:pPr>
        <w:pStyle w:val="11"/>
        <w:rPr>
          <w:rFonts w:hint="eastAsia"/>
          <w:color w:val="auto"/>
        </w:rPr>
      </w:pPr>
      <w:r>
        <w:rPr>
          <w:rFonts w:hint="eastAsia"/>
          <w:color w:val="auto"/>
        </w:rPr>
        <w:t>校验规则配置服务</w:t>
      </w:r>
    </w:p>
    <w:p>
      <w:pPr>
        <w:ind w:firstLine="560" w:firstLineChars="200"/>
        <w:rPr>
          <w:rFonts w:hint="eastAsia" w:eastAsia="仿宋_GB2312"/>
          <w:color w:val="auto"/>
          <w:sz w:val="28"/>
          <w:szCs w:val="28"/>
        </w:rPr>
      </w:pPr>
      <w:r>
        <w:rPr>
          <w:rFonts w:hint="eastAsia" w:eastAsia="仿宋_GB2312"/>
          <w:color w:val="auto"/>
          <w:sz w:val="28"/>
          <w:szCs w:val="28"/>
        </w:rPr>
        <w:t>通过添加校验规则配置，完成对表单中校验规则的配置，主要包括年份格式，输入正数规则，输入1-6的任意数字，输入大于0的正整数等72个校验规则的配置。</w:t>
      </w:r>
    </w:p>
    <w:p>
      <w:pPr>
        <w:pStyle w:val="11"/>
        <w:rPr>
          <w:rFonts w:hint="eastAsia"/>
          <w:color w:val="auto"/>
        </w:rPr>
      </w:pPr>
      <w:r>
        <w:rPr>
          <w:rFonts w:hint="eastAsia"/>
          <w:color w:val="auto"/>
        </w:rPr>
        <w:t>接口配置服务</w:t>
      </w:r>
    </w:p>
    <w:p>
      <w:pPr>
        <w:numPr>
          <w:ilvl w:val="0"/>
          <w:numId w:val="2"/>
        </w:numPr>
        <w:ind w:left="0" w:firstLine="560" w:firstLineChars="200"/>
        <w:rPr>
          <w:rFonts w:eastAsia="仿宋_GB2312"/>
          <w:color w:val="auto"/>
          <w:sz w:val="28"/>
          <w:szCs w:val="28"/>
        </w:rPr>
      </w:pPr>
      <w:r>
        <w:rPr>
          <w:rFonts w:hint="eastAsia" w:eastAsia="仿宋_GB2312"/>
          <w:color w:val="auto"/>
          <w:sz w:val="28"/>
          <w:szCs w:val="28"/>
        </w:rPr>
        <w:t>根据平台业务需求，为了适应新业务的开展，需要完成对表单的接口配置和调整，完成对基础信息接口，项目负责人接口，参与人员接口，承担单位接口，参与单位接口，附件列表接口的配置和测试</w:t>
      </w:r>
      <w:r>
        <w:rPr>
          <w:rFonts w:hint="eastAsia" w:eastAsia="仿宋_GB2312"/>
          <w:color w:val="auto"/>
          <w:sz w:val="28"/>
          <w:szCs w:val="28"/>
          <w:lang w:eastAsia="zh-Hans"/>
        </w:rPr>
        <w:t>。</w:t>
      </w:r>
    </w:p>
    <w:p>
      <w:pPr>
        <w:pStyle w:val="10"/>
        <w:rPr>
          <w:rFonts w:hint="eastAsia"/>
          <w:color w:val="auto"/>
        </w:rPr>
      </w:pPr>
      <w:r>
        <w:rPr>
          <w:rFonts w:hint="eastAsia"/>
          <w:color w:val="auto"/>
        </w:rPr>
        <w:t>PDF可视化适应性配置服务</w:t>
      </w:r>
    </w:p>
    <w:p>
      <w:pPr>
        <w:ind w:firstLine="560" w:firstLineChars="200"/>
        <w:rPr>
          <w:rFonts w:hint="eastAsia" w:eastAsia="仿宋_GB2312"/>
          <w:color w:val="auto"/>
          <w:sz w:val="28"/>
          <w:szCs w:val="28"/>
        </w:rPr>
      </w:pPr>
      <w:r>
        <w:rPr>
          <w:rFonts w:hint="eastAsia" w:eastAsia="仿宋_GB2312"/>
          <w:color w:val="auto"/>
          <w:sz w:val="28"/>
          <w:szCs w:val="28"/>
        </w:rPr>
        <w:t>PDF可视化适应性配置服务是指根据科研管理公共服务平台要求对项目业务表单PDF进行配置前，为了加快表单配置效率，对可视化PDF的通用组件，模板，数据绑定进行分析、配置及测试；达到快速配置表单PDF，提高表单PDF配置效率。</w:t>
      </w:r>
    </w:p>
    <w:p>
      <w:pPr>
        <w:pStyle w:val="11"/>
        <w:rPr>
          <w:rFonts w:hint="eastAsia"/>
          <w:color w:val="auto"/>
        </w:rPr>
      </w:pPr>
      <w:r>
        <w:rPr>
          <w:rFonts w:hint="eastAsia"/>
          <w:color w:val="auto"/>
        </w:rPr>
        <w:t>PDF组件配置服务</w:t>
      </w:r>
    </w:p>
    <w:p>
      <w:pPr>
        <w:ind w:firstLine="560" w:firstLineChars="200"/>
        <w:rPr>
          <w:color w:val="auto"/>
        </w:rPr>
      </w:pPr>
      <w:r>
        <w:rPr>
          <w:rFonts w:hint="eastAsia" w:eastAsia="仿宋_GB2312"/>
          <w:color w:val="auto"/>
          <w:sz w:val="28"/>
          <w:szCs w:val="28"/>
        </w:rPr>
        <w:t>根据PDF组件配置功能，完成对文本，分页，单行文本，多行文本等组件的适应性配置。</w:t>
      </w:r>
    </w:p>
    <w:p>
      <w:pPr>
        <w:pStyle w:val="11"/>
        <w:rPr>
          <w:rFonts w:hint="eastAsia"/>
          <w:color w:val="auto"/>
        </w:rPr>
      </w:pPr>
      <w:r>
        <w:rPr>
          <w:rFonts w:hint="eastAsia"/>
          <w:color w:val="auto"/>
        </w:rPr>
        <w:t>PDF模板配置服务</w:t>
      </w:r>
    </w:p>
    <w:p>
      <w:pPr>
        <w:ind w:firstLine="560" w:firstLineChars="200"/>
        <w:rPr>
          <w:rFonts w:hint="eastAsia" w:eastAsia="仿宋_GB2312"/>
          <w:color w:val="auto"/>
          <w:sz w:val="28"/>
          <w:szCs w:val="28"/>
        </w:rPr>
      </w:pPr>
      <w:r>
        <w:rPr>
          <w:rFonts w:hint="eastAsia" w:eastAsia="仿宋_GB2312"/>
          <w:color w:val="auto"/>
          <w:sz w:val="28"/>
          <w:szCs w:val="28"/>
        </w:rPr>
        <w:t>完成对现有科技计划项目申报，合同，变更，执行报告，验收申请，验收书PDF，6个表单PDF通用模板的改造配置。</w:t>
      </w:r>
    </w:p>
    <w:p>
      <w:pPr>
        <w:ind w:firstLine="560" w:firstLineChars="200"/>
        <w:rPr>
          <w:rFonts w:eastAsia="仿宋_GB2312"/>
          <w:color w:val="auto"/>
          <w:sz w:val="28"/>
          <w:szCs w:val="28"/>
        </w:rPr>
      </w:pPr>
    </w:p>
    <w:p>
      <w:pPr>
        <w:pStyle w:val="11"/>
        <w:rPr>
          <w:rFonts w:hint="eastAsia"/>
          <w:color w:val="auto"/>
        </w:rPr>
      </w:pPr>
      <w:r>
        <w:rPr>
          <w:rFonts w:hint="eastAsia"/>
          <w:color w:val="auto"/>
        </w:rPr>
        <w:t>PDF数据绑定配置服务</w:t>
      </w:r>
    </w:p>
    <w:p>
      <w:pPr>
        <w:ind w:firstLine="560" w:firstLineChars="200"/>
        <w:rPr>
          <w:color w:val="auto"/>
        </w:rPr>
      </w:pPr>
      <w:r>
        <w:rPr>
          <w:rFonts w:hint="eastAsia" w:eastAsia="仿宋_GB2312"/>
          <w:color w:val="auto"/>
          <w:sz w:val="28"/>
          <w:szCs w:val="28"/>
        </w:rPr>
        <w:t>根据表单专题名称进行PDF数据绑订。设定PDF版本号，选择表单类型，同时可添加相关备注。</w:t>
      </w:r>
    </w:p>
    <w:p>
      <w:pPr>
        <w:pStyle w:val="10"/>
        <w:rPr>
          <w:rFonts w:hint="eastAsia"/>
          <w:color w:val="auto"/>
        </w:rPr>
      </w:pPr>
      <w:r>
        <w:rPr>
          <w:rFonts w:hint="eastAsia"/>
          <w:color w:val="auto"/>
        </w:rPr>
        <w:t>合同对比适应性配置服务</w:t>
      </w:r>
    </w:p>
    <w:p>
      <w:pPr>
        <w:ind w:firstLine="560" w:firstLineChars="200"/>
        <w:rPr>
          <w:rFonts w:hint="eastAsia" w:eastAsia="仿宋_GB2312"/>
          <w:color w:val="auto"/>
          <w:sz w:val="28"/>
          <w:szCs w:val="28"/>
        </w:rPr>
      </w:pPr>
      <w:r>
        <w:rPr>
          <w:rFonts w:hint="eastAsia" w:eastAsia="仿宋_GB2312"/>
          <w:color w:val="auto"/>
          <w:sz w:val="28"/>
          <w:szCs w:val="28"/>
        </w:rPr>
        <w:t>需要完成新版表单中的合同书和申报书对比配置。主要包括新版科技计划项目（技术开发类），科技计划项目（平台环境类），科技计划项目（产业类）的合同书和申报书对比配置，</w:t>
      </w:r>
    </w:p>
    <w:p>
      <w:pPr>
        <w:ind w:firstLine="560" w:firstLineChars="200"/>
        <w:rPr>
          <w:color w:val="auto"/>
        </w:rPr>
      </w:pPr>
      <w:r>
        <w:rPr>
          <w:rFonts w:hint="eastAsia" w:eastAsia="仿宋_GB2312"/>
          <w:color w:val="auto"/>
          <w:sz w:val="28"/>
          <w:szCs w:val="28"/>
        </w:rPr>
        <w:t>合同对比设置主要为了实现不同申报书和合同书对比设置，通过设置的方式，实现不同申报书合同书的个性化配置对比。</w:t>
      </w:r>
    </w:p>
    <w:p>
      <w:pPr>
        <w:pStyle w:val="9"/>
        <w:jc w:val="both"/>
        <w:outlineLvl w:val="1"/>
        <w:rPr>
          <w:rFonts w:hint="eastAsia" w:ascii="Times New Roman" w:hAnsi="Times New Roman"/>
          <w:color w:val="auto"/>
        </w:rPr>
      </w:pPr>
      <w:r>
        <w:rPr>
          <w:rFonts w:hint="eastAsia" w:ascii="Times New Roman" w:hAnsi="Times New Roman"/>
          <w:color w:val="auto"/>
        </w:rPr>
        <w:t>数据处理运营服务</w:t>
      </w:r>
    </w:p>
    <w:p>
      <w:pPr>
        <w:pStyle w:val="10"/>
        <w:outlineLvl w:val="2"/>
        <w:rPr>
          <w:rFonts w:hint="eastAsia"/>
          <w:color w:val="auto"/>
        </w:rPr>
      </w:pPr>
      <w:r>
        <w:rPr>
          <w:rFonts w:hint="eastAsia"/>
          <w:color w:val="auto"/>
        </w:rPr>
        <w:t>数据备份管理</w:t>
      </w:r>
    </w:p>
    <w:p>
      <w:pPr>
        <w:pStyle w:val="11"/>
        <w:outlineLvl w:val="3"/>
        <w:rPr>
          <w:rFonts w:hint="eastAsia"/>
          <w:color w:val="auto"/>
        </w:rPr>
      </w:pPr>
      <w:r>
        <w:rPr>
          <w:rFonts w:hint="eastAsia"/>
          <w:color w:val="auto"/>
        </w:rPr>
        <w:t>数据备份机制建立</w:t>
      </w:r>
    </w:p>
    <w:p>
      <w:pPr>
        <w:ind w:firstLine="560" w:firstLineChars="200"/>
        <w:rPr>
          <w:rFonts w:hint="eastAsia" w:eastAsia="仿宋_GB2312"/>
          <w:color w:val="auto"/>
          <w:sz w:val="28"/>
          <w:szCs w:val="28"/>
        </w:rPr>
      </w:pPr>
      <w:r>
        <w:rPr>
          <w:rFonts w:hint="eastAsia" w:eastAsia="仿宋_GB2312"/>
          <w:color w:val="auto"/>
          <w:sz w:val="28"/>
          <w:szCs w:val="28"/>
        </w:rPr>
        <w:t>建立数据备份机制，明确备份范围、方式、频率等要求。</w:t>
      </w:r>
    </w:p>
    <w:p>
      <w:pPr>
        <w:pStyle w:val="11"/>
        <w:outlineLvl w:val="3"/>
        <w:rPr>
          <w:rFonts w:hint="eastAsia"/>
          <w:color w:val="auto"/>
        </w:rPr>
      </w:pPr>
      <w:r>
        <w:rPr>
          <w:rFonts w:hint="eastAsia"/>
          <w:color w:val="auto"/>
        </w:rPr>
        <w:t>数据拆分备份管理</w:t>
      </w:r>
    </w:p>
    <w:p>
      <w:pPr>
        <w:pStyle w:val="12"/>
        <w:outlineLvl w:val="4"/>
        <w:rPr>
          <w:rFonts w:hint="eastAsia"/>
          <w:color w:val="auto"/>
        </w:rPr>
      </w:pPr>
      <w:r>
        <w:rPr>
          <w:rFonts w:hint="eastAsia"/>
          <w:color w:val="auto"/>
        </w:rPr>
        <w:t>平台数据梳理</w:t>
      </w:r>
    </w:p>
    <w:p>
      <w:pPr>
        <w:ind w:firstLine="560" w:firstLineChars="200"/>
        <w:rPr>
          <w:rFonts w:hint="eastAsia" w:eastAsia="仿宋_GB2312"/>
          <w:color w:val="auto"/>
          <w:sz w:val="28"/>
          <w:szCs w:val="28"/>
        </w:rPr>
      </w:pPr>
      <w:r>
        <w:rPr>
          <w:rFonts w:hint="eastAsia" w:eastAsia="仿宋_GB2312"/>
          <w:color w:val="auto"/>
          <w:sz w:val="28"/>
          <w:szCs w:val="28"/>
        </w:rPr>
        <w:t>按照类型区分，现有的数据类型主要有文件数据和数据库数据。</w:t>
      </w:r>
    </w:p>
    <w:p>
      <w:pPr>
        <w:ind w:firstLine="560" w:firstLineChars="200"/>
        <w:rPr>
          <w:rFonts w:hint="eastAsia" w:eastAsia="仿宋_GB2312"/>
          <w:color w:val="auto"/>
          <w:sz w:val="28"/>
          <w:szCs w:val="28"/>
        </w:rPr>
      </w:pPr>
      <w:r>
        <w:rPr>
          <w:rFonts w:hint="eastAsia" w:eastAsia="仿宋_GB2312"/>
          <w:color w:val="auto"/>
          <w:sz w:val="28"/>
          <w:szCs w:val="28"/>
        </w:rPr>
        <w:t>文件数据按照类型主要包含PDF，EXCEL，PNG，JPG，WORD等静态文件，按照业务功能模块主要分为系统管理，评审管理，立项管理和表单模块（指南征集，申报管理，合同管理，过程管理，验收管理）。数据库数据主要涉及从系统管理，指南征集，申报管理，评审管理，立项管理，合同管理，过程管理，验收管理，归档管理共1625个表的数据。</w:t>
      </w:r>
    </w:p>
    <w:p>
      <w:pPr>
        <w:pStyle w:val="12"/>
        <w:outlineLvl w:val="4"/>
        <w:rPr>
          <w:rFonts w:hint="eastAsia"/>
          <w:color w:val="auto"/>
        </w:rPr>
      </w:pPr>
      <w:r>
        <w:rPr>
          <w:rFonts w:hint="eastAsia"/>
          <w:color w:val="auto"/>
        </w:rPr>
        <w:t>平台数据清洗</w:t>
      </w:r>
    </w:p>
    <w:p>
      <w:pPr>
        <w:ind w:firstLine="560" w:firstLineChars="200"/>
        <w:rPr>
          <w:rFonts w:hint="eastAsia" w:eastAsia="仿宋_GB2312"/>
          <w:color w:val="auto"/>
          <w:sz w:val="28"/>
          <w:szCs w:val="28"/>
        </w:rPr>
      </w:pPr>
      <w:r>
        <w:rPr>
          <w:rFonts w:hint="eastAsia" w:eastAsia="仿宋_GB2312"/>
          <w:color w:val="auto"/>
          <w:sz w:val="28"/>
          <w:szCs w:val="28"/>
        </w:rPr>
        <w:t>平台数据清洗主要按照2个数据类型，分别对应的清洗方式不一致。</w:t>
      </w:r>
    </w:p>
    <w:p>
      <w:pPr>
        <w:pStyle w:val="13"/>
        <w:outlineLvl w:val="9"/>
        <w:rPr>
          <w:rFonts w:hint="eastAsia"/>
          <w:color w:val="auto"/>
        </w:rPr>
      </w:pPr>
      <w:r>
        <w:rPr>
          <w:rFonts w:hint="eastAsia"/>
          <w:color w:val="auto"/>
        </w:rPr>
        <w:t>文件数据清洗</w:t>
      </w:r>
    </w:p>
    <w:p>
      <w:pPr>
        <w:ind w:firstLine="560" w:firstLineChars="200"/>
        <w:rPr>
          <w:rFonts w:hint="eastAsia" w:eastAsia="仿宋_GB2312"/>
          <w:color w:val="auto"/>
          <w:sz w:val="28"/>
          <w:szCs w:val="28"/>
        </w:rPr>
      </w:pPr>
      <w:r>
        <w:rPr>
          <w:rFonts w:hint="eastAsia" w:eastAsia="仿宋_GB2312"/>
          <w:color w:val="auto"/>
          <w:sz w:val="28"/>
          <w:szCs w:val="28"/>
        </w:rPr>
        <w:t>文件数据的清洗主要分为3个维度进行清洗：</w:t>
      </w:r>
    </w:p>
    <w:p>
      <w:pPr>
        <w:ind w:firstLine="560" w:firstLineChars="200"/>
        <w:rPr>
          <w:rFonts w:hint="eastAsia" w:eastAsia="仿宋_GB2312"/>
          <w:color w:val="auto"/>
          <w:sz w:val="28"/>
          <w:szCs w:val="28"/>
        </w:rPr>
      </w:pPr>
      <w:r>
        <w:rPr>
          <w:rFonts w:hint="eastAsia" w:eastAsia="仿宋_GB2312"/>
          <w:color w:val="auto"/>
          <w:sz w:val="28"/>
          <w:szCs w:val="28"/>
        </w:rPr>
        <w:t>（1）平台维度清洗：由于系统本身开通多个平台，需要按照平台表，将现有文件数据按照平台维度进行清洗，不同平台的文件数据清洗到同一个文件夹中。</w:t>
      </w:r>
    </w:p>
    <w:p>
      <w:pPr>
        <w:ind w:firstLine="560" w:firstLineChars="200"/>
        <w:rPr>
          <w:rFonts w:hint="eastAsia" w:eastAsia="仿宋_GB2312"/>
          <w:color w:val="auto"/>
          <w:sz w:val="28"/>
          <w:szCs w:val="28"/>
        </w:rPr>
      </w:pPr>
      <w:r>
        <w:rPr>
          <w:rFonts w:hint="eastAsia" w:eastAsia="仿宋_GB2312"/>
          <w:color w:val="auto"/>
          <w:sz w:val="28"/>
          <w:szCs w:val="28"/>
        </w:rPr>
        <w:t>（2）功能模块维度清洗：区分平台后，将文件数据按照系统管理，评审管理，立项管理和表单模块（指南征集，申报管理，合同管理，过程管理，验收管理）4个模块将数据进行区分，方便之后对各个模块数据进行管理。</w:t>
      </w:r>
    </w:p>
    <w:p>
      <w:pPr>
        <w:ind w:firstLine="560" w:firstLineChars="200"/>
        <w:rPr>
          <w:rFonts w:hint="eastAsia" w:eastAsia="仿宋_GB2312"/>
          <w:color w:val="auto"/>
          <w:sz w:val="28"/>
          <w:szCs w:val="28"/>
        </w:rPr>
      </w:pPr>
      <w:r>
        <w:rPr>
          <w:rFonts w:hint="eastAsia" w:eastAsia="仿宋_GB2312"/>
          <w:color w:val="auto"/>
          <w:sz w:val="28"/>
          <w:szCs w:val="28"/>
        </w:rPr>
        <w:t>（3）人员维度清洗：区分平台和功能模块后，需要按照人员ID对人员上传的数据文件进行清洗，方便按照人员维度进行统一管理。</w:t>
      </w:r>
    </w:p>
    <w:p>
      <w:pPr>
        <w:pStyle w:val="13"/>
        <w:outlineLvl w:val="9"/>
        <w:rPr>
          <w:rFonts w:hint="eastAsia"/>
          <w:color w:val="auto"/>
        </w:rPr>
      </w:pPr>
      <w:r>
        <w:rPr>
          <w:rFonts w:hint="eastAsia"/>
          <w:color w:val="auto"/>
        </w:rPr>
        <w:t>数据库数据清洗</w:t>
      </w:r>
    </w:p>
    <w:p>
      <w:pPr>
        <w:ind w:firstLine="560" w:firstLineChars="200"/>
        <w:rPr>
          <w:rFonts w:hint="eastAsia" w:eastAsia="仿宋_GB2312"/>
          <w:color w:val="auto"/>
          <w:sz w:val="28"/>
          <w:szCs w:val="28"/>
        </w:rPr>
      </w:pPr>
      <w:r>
        <w:rPr>
          <w:rFonts w:hint="eastAsia" w:eastAsia="仿宋_GB2312"/>
          <w:color w:val="auto"/>
          <w:sz w:val="28"/>
          <w:szCs w:val="28"/>
        </w:rPr>
        <w:t>数据库数据清洗主要按照平台维度和表维度进行清洗：</w:t>
      </w:r>
    </w:p>
    <w:p>
      <w:pPr>
        <w:ind w:firstLine="560" w:firstLineChars="200"/>
        <w:rPr>
          <w:rFonts w:hint="eastAsia" w:eastAsia="仿宋_GB2312"/>
          <w:color w:val="auto"/>
          <w:sz w:val="28"/>
          <w:szCs w:val="28"/>
        </w:rPr>
      </w:pPr>
      <w:r>
        <w:rPr>
          <w:rFonts w:hint="eastAsia" w:eastAsia="仿宋_GB2312"/>
          <w:color w:val="auto"/>
          <w:sz w:val="28"/>
          <w:szCs w:val="28"/>
        </w:rPr>
        <w:t>（1）在所有表中添加平台字段和更新时间字段。</w:t>
      </w:r>
    </w:p>
    <w:p>
      <w:pPr>
        <w:ind w:firstLine="560" w:firstLineChars="200"/>
        <w:rPr>
          <w:rFonts w:hint="eastAsia" w:eastAsia="仿宋_GB2312"/>
          <w:color w:val="auto"/>
          <w:sz w:val="28"/>
          <w:szCs w:val="28"/>
        </w:rPr>
      </w:pPr>
      <w:r>
        <w:rPr>
          <w:rFonts w:hint="eastAsia" w:eastAsia="仿宋_GB2312"/>
          <w:color w:val="auto"/>
          <w:sz w:val="28"/>
          <w:szCs w:val="28"/>
        </w:rPr>
        <w:t>（2）清洗时按照平台字段将每个表进行平台拆分，清洗到不同库中。</w:t>
      </w:r>
    </w:p>
    <w:p>
      <w:pPr>
        <w:pStyle w:val="12"/>
        <w:outlineLvl w:val="4"/>
        <w:rPr>
          <w:rFonts w:hint="eastAsia"/>
          <w:color w:val="auto"/>
        </w:rPr>
      </w:pPr>
      <w:r>
        <w:rPr>
          <w:rFonts w:hint="eastAsia"/>
          <w:color w:val="auto"/>
        </w:rPr>
        <w:t>数据分类备份</w:t>
      </w:r>
    </w:p>
    <w:p>
      <w:pPr>
        <w:ind w:firstLine="560" w:firstLineChars="200"/>
        <w:rPr>
          <w:rFonts w:hint="eastAsia" w:eastAsia="仿宋_GB2312"/>
          <w:color w:val="auto"/>
          <w:sz w:val="28"/>
          <w:szCs w:val="28"/>
        </w:rPr>
      </w:pPr>
      <w:r>
        <w:rPr>
          <w:rFonts w:hint="eastAsia" w:eastAsia="仿宋_GB2312"/>
          <w:color w:val="auto"/>
          <w:sz w:val="28"/>
          <w:szCs w:val="28"/>
        </w:rPr>
        <w:t>数据分类备份主要按照根据平台数据清洗后的数据，对已经清洗后的数据，按照文件数据和数据库数据进行备份。</w:t>
      </w:r>
    </w:p>
    <w:p>
      <w:pPr>
        <w:ind w:firstLine="560" w:firstLineChars="200"/>
        <w:rPr>
          <w:rFonts w:hint="eastAsia" w:eastAsia="仿宋_GB2312"/>
          <w:color w:val="auto"/>
          <w:sz w:val="28"/>
          <w:szCs w:val="28"/>
        </w:rPr>
      </w:pPr>
      <w:r>
        <w:rPr>
          <w:rFonts w:hint="eastAsia" w:eastAsia="仿宋_GB2312"/>
          <w:color w:val="auto"/>
          <w:sz w:val="28"/>
          <w:szCs w:val="28"/>
        </w:rPr>
        <w:t>文件数据主要将数据备份到不同的文件服务器中。</w:t>
      </w:r>
    </w:p>
    <w:p>
      <w:pPr>
        <w:ind w:firstLine="560" w:firstLineChars="200"/>
        <w:rPr>
          <w:rFonts w:hint="eastAsia" w:eastAsia="仿宋_GB2312"/>
          <w:color w:val="auto"/>
          <w:sz w:val="28"/>
          <w:szCs w:val="28"/>
        </w:rPr>
      </w:pPr>
      <w:r>
        <w:rPr>
          <w:rFonts w:hint="eastAsia" w:eastAsia="仿宋_GB2312"/>
          <w:color w:val="auto"/>
          <w:sz w:val="28"/>
          <w:szCs w:val="28"/>
        </w:rPr>
        <w:t>数据库数据主要添加备份数据库的方式，将数据库数据按照数据库数据清洗方式添加到备份数据库中。</w:t>
      </w:r>
    </w:p>
    <w:p>
      <w:pPr>
        <w:pStyle w:val="11"/>
        <w:outlineLvl w:val="3"/>
        <w:rPr>
          <w:rFonts w:hint="eastAsia"/>
          <w:color w:val="auto"/>
        </w:rPr>
      </w:pPr>
      <w:r>
        <w:rPr>
          <w:rFonts w:hint="eastAsia"/>
          <w:color w:val="auto"/>
        </w:rPr>
        <w:t>定期备份管理</w:t>
      </w:r>
    </w:p>
    <w:p>
      <w:pPr>
        <w:ind w:firstLine="560" w:firstLineChars="200"/>
        <w:rPr>
          <w:rFonts w:hint="eastAsia" w:eastAsia="仿宋_GB2312"/>
          <w:color w:val="auto"/>
          <w:sz w:val="28"/>
          <w:szCs w:val="28"/>
        </w:rPr>
      </w:pPr>
      <w:r>
        <w:rPr>
          <w:rFonts w:hint="eastAsia" w:eastAsia="仿宋_GB2312"/>
          <w:color w:val="auto"/>
          <w:sz w:val="28"/>
          <w:szCs w:val="28"/>
        </w:rPr>
        <w:t>采取本地+同城+异地备份等方式，形成定期备份、常态化备份机制。</w:t>
      </w:r>
    </w:p>
    <w:p>
      <w:pPr>
        <w:pStyle w:val="12"/>
        <w:outlineLvl w:val="4"/>
        <w:rPr>
          <w:rFonts w:hint="eastAsia"/>
          <w:color w:val="auto"/>
        </w:rPr>
      </w:pPr>
      <w:r>
        <w:rPr>
          <w:rFonts w:hint="eastAsia"/>
          <w:color w:val="auto"/>
        </w:rPr>
        <w:t>备份设置</w:t>
      </w:r>
    </w:p>
    <w:p>
      <w:pPr>
        <w:ind w:firstLine="560" w:firstLineChars="200"/>
        <w:rPr>
          <w:rFonts w:hint="eastAsia" w:eastAsia="仿宋_GB2312"/>
          <w:color w:val="auto"/>
          <w:sz w:val="28"/>
          <w:szCs w:val="28"/>
        </w:rPr>
      </w:pPr>
      <w:r>
        <w:rPr>
          <w:rFonts w:hint="eastAsia" w:eastAsia="仿宋_GB2312"/>
          <w:color w:val="auto"/>
          <w:sz w:val="28"/>
          <w:szCs w:val="28"/>
        </w:rPr>
        <w:t>添加备份设置功能，设置备份的数据类型（文件数据，数据库数据），备份时间点，备份方式（全量备份，增量备份）。</w:t>
      </w:r>
    </w:p>
    <w:p>
      <w:pPr>
        <w:pStyle w:val="12"/>
        <w:outlineLvl w:val="4"/>
        <w:rPr>
          <w:rFonts w:hint="eastAsia"/>
          <w:color w:val="auto"/>
        </w:rPr>
      </w:pPr>
      <w:r>
        <w:rPr>
          <w:rFonts w:hint="eastAsia"/>
          <w:color w:val="auto"/>
        </w:rPr>
        <w:t>自动备份</w:t>
      </w:r>
    </w:p>
    <w:p>
      <w:pPr>
        <w:ind w:firstLine="560" w:firstLineChars="200"/>
        <w:rPr>
          <w:rFonts w:hint="eastAsia" w:eastAsia="仿宋_GB2312"/>
          <w:color w:val="auto"/>
          <w:sz w:val="28"/>
          <w:szCs w:val="28"/>
        </w:rPr>
      </w:pPr>
      <w:r>
        <w:rPr>
          <w:rFonts w:hint="eastAsia" w:eastAsia="仿宋_GB2312"/>
          <w:color w:val="auto"/>
          <w:sz w:val="28"/>
          <w:szCs w:val="28"/>
        </w:rPr>
        <w:t>备份设置完成后，系统安装备份设置的规则，定期对数据进行备份，备份完成后，将备份后的数据同步到备份服务器中，同时提供数据接口，供异地备份服务器进行下载备份。</w:t>
      </w:r>
    </w:p>
    <w:p>
      <w:pPr>
        <w:pStyle w:val="9"/>
        <w:jc w:val="both"/>
        <w:outlineLvl w:val="1"/>
        <w:rPr>
          <w:rFonts w:hint="eastAsia" w:ascii="Times New Roman" w:hAnsi="Times New Roman"/>
          <w:color w:val="auto"/>
        </w:rPr>
      </w:pPr>
      <w:r>
        <w:rPr>
          <w:rFonts w:hint="eastAsia" w:ascii="Times New Roman" w:hAnsi="Times New Roman"/>
          <w:color w:val="auto"/>
        </w:rPr>
        <w:t>其他业务运营服务</w:t>
      </w:r>
    </w:p>
    <w:p>
      <w:pPr>
        <w:pStyle w:val="10"/>
        <w:outlineLvl w:val="2"/>
        <w:rPr>
          <w:rFonts w:hint="eastAsia"/>
          <w:color w:val="auto"/>
        </w:rPr>
      </w:pPr>
      <w:r>
        <w:rPr>
          <w:rFonts w:hint="eastAsia"/>
          <w:color w:val="auto"/>
        </w:rPr>
        <w:t>国产化适配改造</w:t>
      </w:r>
    </w:p>
    <w:p>
      <w:pPr>
        <w:pStyle w:val="11"/>
        <w:outlineLvl w:val="3"/>
        <w:rPr>
          <w:rFonts w:hint="eastAsia"/>
          <w:color w:val="auto"/>
        </w:rPr>
      </w:pPr>
      <w:r>
        <w:rPr>
          <w:rFonts w:hint="eastAsia"/>
          <w:color w:val="auto"/>
        </w:rPr>
        <w:t>国产化终端适配改造运营服务</w:t>
      </w:r>
    </w:p>
    <w:p>
      <w:pPr>
        <w:ind w:firstLine="560" w:firstLineChars="200"/>
        <w:rPr>
          <w:rFonts w:hint="eastAsia" w:eastAsia="仿宋_GB2312"/>
          <w:color w:val="auto"/>
          <w:sz w:val="28"/>
          <w:szCs w:val="28"/>
        </w:rPr>
      </w:pPr>
      <w:r>
        <w:rPr>
          <w:rFonts w:hint="eastAsia" w:eastAsia="仿宋_GB2312"/>
          <w:color w:val="auto"/>
          <w:sz w:val="28"/>
          <w:szCs w:val="28"/>
        </w:rPr>
        <w:t>终端适配已做。已适配统信UOS桌面操作系统的UOS浏览器与火狐浏览器的适配工作。</w:t>
      </w:r>
    </w:p>
    <w:p>
      <w:pPr>
        <w:pStyle w:val="11"/>
        <w:outlineLvl w:val="3"/>
        <w:rPr>
          <w:rFonts w:hint="eastAsia"/>
          <w:color w:val="auto"/>
        </w:rPr>
      </w:pPr>
      <w:r>
        <w:rPr>
          <w:rFonts w:hint="eastAsia"/>
          <w:color w:val="auto"/>
        </w:rPr>
        <w:t>服务器端国产化适配改造运营服务</w:t>
      </w:r>
    </w:p>
    <w:p>
      <w:pPr>
        <w:pStyle w:val="12"/>
        <w:outlineLvl w:val="4"/>
        <w:rPr>
          <w:rFonts w:hint="eastAsia"/>
          <w:color w:val="auto"/>
        </w:rPr>
      </w:pPr>
      <w:r>
        <w:rPr>
          <w:rFonts w:hint="eastAsia"/>
          <w:color w:val="auto"/>
        </w:rPr>
        <w:t>系统国产化适配改造功能</w:t>
      </w:r>
    </w:p>
    <w:p>
      <w:pPr>
        <w:ind w:firstLine="560" w:firstLineChars="200"/>
        <w:rPr>
          <w:rFonts w:hint="eastAsia" w:eastAsia="仿宋_GB2312"/>
          <w:color w:val="auto"/>
          <w:sz w:val="28"/>
          <w:szCs w:val="28"/>
        </w:rPr>
      </w:pPr>
      <w:r>
        <w:rPr>
          <w:rFonts w:hint="eastAsia" w:eastAsia="仿宋_GB2312"/>
          <w:color w:val="auto"/>
          <w:sz w:val="28"/>
          <w:szCs w:val="28"/>
        </w:rPr>
        <w:t>系统迁移到国产化后，需要对功能进行适配性改造，具体适配改造功能清单如下表：</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2"/>
        <w:gridCol w:w="1689"/>
        <w:gridCol w:w="4606"/>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noWrap w:val="0"/>
            <w:vAlign w:val="center"/>
          </w:tcPr>
          <w:p>
            <w:pPr>
              <w:rPr>
                <w:rFonts w:hint="eastAsia" w:eastAsia="仿宋_GB2312"/>
                <w:b/>
                <w:bCs/>
                <w:color w:val="auto"/>
                <w:sz w:val="28"/>
                <w:szCs w:val="28"/>
              </w:rPr>
            </w:pPr>
            <w:r>
              <w:rPr>
                <w:rFonts w:hint="eastAsia" w:eastAsia="仿宋_GB2312"/>
                <w:b/>
                <w:bCs/>
                <w:color w:val="auto"/>
                <w:sz w:val="28"/>
                <w:szCs w:val="28"/>
              </w:rPr>
              <w:t>功能模块分类</w:t>
            </w:r>
          </w:p>
        </w:tc>
        <w:tc>
          <w:tcPr>
            <w:tcW w:w="1843" w:type="dxa"/>
            <w:noWrap w:val="0"/>
            <w:vAlign w:val="center"/>
          </w:tcPr>
          <w:p>
            <w:pPr>
              <w:rPr>
                <w:rFonts w:hint="eastAsia" w:eastAsia="仿宋_GB2312"/>
                <w:b/>
                <w:bCs/>
                <w:color w:val="auto"/>
                <w:sz w:val="28"/>
                <w:szCs w:val="28"/>
              </w:rPr>
            </w:pPr>
            <w:r>
              <w:rPr>
                <w:rFonts w:hint="eastAsia" w:eastAsia="仿宋_GB2312"/>
                <w:b/>
                <w:bCs/>
                <w:color w:val="auto"/>
                <w:sz w:val="28"/>
                <w:szCs w:val="28"/>
              </w:rPr>
              <w:t>功能模块</w:t>
            </w:r>
          </w:p>
        </w:tc>
        <w:tc>
          <w:tcPr>
            <w:tcW w:w="5103" w:type="dxa"/>
            <w:noWrap w:val="0"/>
            <w:vAlign w:val="center"/>
          </w:tcPr>
          <w:p>
            <w:pPr>
              <w:rPr>
                <w:rFonts w:hint="eastAsia" w:eastAsia="仿宋_GB2312"/>
                <w:b/>
                <w:bCs/>
                <w:color w:val="auto"/>
                <w:sz w:val="28"/>
                <w:szCs w:val="28"/>
              </w:rPr>
            </w:pPr>
            <w:r>
              <w:rPr>
                <w:rFonts w:hint="eastAsia" w:eastAsia="仿宋_GB2312"/>
                <w:b/>
                <w:bCs/>
                <w:color w:val="auto"/>
                <w:sz w:val="28"/>
                <w:szCs w:val="28"/>
              </w:rPr>
              <w:t>简述</w:t>
            </w:r>
          </w:p>
        </w:tc>
        <w:tc>
          <w:tcPr>
            <w:tcW w:w="956" w:type="dxa"/>
            <w:noWrap w:val="0"/>
            <w:vAlign w:val="center"/>
          </w:tcPr>
          <w:p>
            <w:pPr>
              <w:rPr>
                <w:rFonts w:hint="eastAsia" w:eastAsia="仿宋_GB2312"/>
                <w:b/>
                <w:bCs/>
                <w:color w:val="auto"/>
                <w:sz w:val="28"/>
                <w:szCs w:val="28"/>
              </w:rPr>
            </w:pPr>
            <w:r>
              <w:rPr>
                <w:rFonts w:hint="eastAsia" w:eastAsia="仿宋_GB2312"/>
                <w:b/>
                <w:bCs/>
                <w:color w:val="auto"/>
                <w:sz w:val="28"/>
                <w:szCs w:val="28"/>
              </w:rPr>
              <w:t>语言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restart"/>
            <w:noWrap w:val="0"/>
            <w:vAlign w:val="center"/>
          </w:tcPr>
          <w:p>
            <w:pPr>
              <w:rPr>
                <w:rFonts w:hint="eastAsia" w:eastAsia="仿宋_GB2312"/>
                <w:color w:val="auto"/>
                <w:sz w:val="28"/>
                <w:szCs w:val="28"/>
              </w:rPr>
            </w:pPr>
            <w:r>
              <w:rPr>
                <w:rFonts w:hint="eastAsia" w:eastAsia="仿宋_GB2312"/>
                <w:color w:val="auto"/>
                <w:sz w:val="28"/>
                <w:szCs w:val="28"/>
              </w:rPr>
              <w:t>项目管理</w:t>
            </w: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系统管理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用户，单位，流程配置等基础功能管理</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申报管理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项目填报，审核，受理</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评审管理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项目网上，线下专家抽取，评审</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立项管理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项目立项下达</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合同管理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合同填写，审核，受理，签订</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过程管理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项目变更，包括负责人变更，成员变更，经费变更等，执行报告。</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vMerge w:val="continue"/>
            <w:noWrap w:val="0"/>
            <w:vAlign w:val="center"/>
          </w:tcPr>
          <w:p>
            <w:pPr>
              <w:rPr>
                <w:rFonts w:hint="eastAsia" w:eastAsia="仿宋_GB2312"/>
                <w:color w:val="auto"/>
                <w:sz w:val="28"/>
                <w:szCs w:val="28"/>
              </w:rPr>
            </w:pP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验收管理</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验收申请，验收评审，验收书管理</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noWrap w:val="0"/>
            <w:vAlign w:val="center"/>
          </w:tcPr>
          <w:p>
            <w:pPr>
              <w:rPr>
                <w:rFonts w:hint="eastAsia" w:eastAsia="仿宋_GB2312"/>
                <w:color w:val="auto"/>
                <w:sz w:val="28"/>
                <w:szCs w:val="28"/>
              </w:rPr>
            </w:pPr>
            <w:r>
              <w:rPr>
                <w:rFonts w:hint="eastAsia" w:eastAsia="仿宋_GB2312"/>
                <w:color w:val="auto"/>
                <w:sz w:val="28"/>
                <w:szCs w:val="28"/>
              </w:rPr>
              <w:t>数据对接</w:t>
            </w:r>
          </w:p>
        </w:tc>
        <w:tc>
          <w:tcPr>
            <w:tcW w:w="1843" w:type="dxa"/>
            <w:noWrap w:val="0"/>
            <w:vAlign w:val="center"/>
          </w:tcPr>
          <w:p>
            <w:pPr>
              <w:rPr>
                <w:rFonts w:hint="eastAsia" w:eastAsia="仿宋_GB2312"/>
                <w:color w:val="auto"/>
                <w:sz w:val="28"/>
                <w:szCs w:val="28"/>
              </w:rPr>
            </w:pPr>
            <w:r>
              <w:rPr>
                <w:rFonts w:hint="eastAsia" w:eastAsia="仿宋_GB2312"/>
                <w:color w:val="auto"/>
                <w:sz w:val="28"/>
                <w:szCs w:val="28"/>
              </w:rPr>
              <w:t>省平台对接</w:t>
            </w:r>
          </w:p>
        </w:tc>
        <w:tc>
          <w:tcPr>
            <w:tcW w:w="5103" w:type="dxa"/>
            <w:noWrap w:val="0"/>
            <w:vAlign w:val="top"/>
          </w:tcPr>
          <w:p>
            <w:pPr>
              <w:rPr>
                <w:rFonts w:hint="eastAsia" w:eastAsia="仿宋_GB2312"/>
                <w:color w:val="auto"/>
                <w:sz w:val="28"/>
                <w:szCs w:val="28"/>
              </w:rPr>
            </w:pPr>
            <w:r>
              <w:rPr>
                <w:rFonts w:hint="eastAsia" w:eastAsia="仿宋_GB2312"/>
                <w:color w:val="auto"/>
                <w:sz w:val="28"/>
                <w:szCs w:val="28"/>
              </w:rPr>
              <w:t>将合同数据对接到省阳光政务平台</w:t>
            </w:r>
          </w:p>
        </w:tc>
        <w:tc>
          <w:tcPr>
            <w:tcW w:w="956" w:type="dxa"/>
            <w:noWrap w:val="0"/>
            <w:vAlign w:val="center"/>
          </w:tcPr>
          <w:p>
            <w:pPr>
              <w:rPr>
                <w:rFonts w:hint="eastAsia" w:eastAsia="仿宋_GB2312"/>
                <w:color w:val="auto"/>
                <w:sz w:val="28"/>
                <w:szCs w:val="28"/>
              </w:rPr>
            </w:pPr>
            <w:r>
              <w:rPr>
                <w:rFonts w:hint="eastAsia" w:eastAsia="仿宋_GB2312"/>
                <w:color w:val="auto"/>
                <w:sz w:val="28"/>
                <w:szCs w:val="28"/>
              </w:rPr>
              <w:t>JAVA</w:t>
            </w:r>
          </w:p>
        </w:tc>
      </w:tr>
    </w:tbl>
    <w:p>
      <w:pPr>
        <w:ind w:firstLine="560" w:firstLineChars="200"/>
        <w:rPr>
          <w:rFonts w:hint="eastAsia" w:eastAsia="仿宋_GB2312"/>
          <w:color w:val="auto"/>
          <w:sz w:val="28"/>
          <w:szCs w:val="28"/>
        </w:rPr>
      </w:pPr>
    </w:p>
    <w:p>
      <w:pPr>
        <w:pStyle w:val="12"/>
        <w:outlineLvl w:val="4"/>
        <w:rPr>
          <w:rFonts w:hint="eastAsia"/>
          <w:color w:val="auto"/>
        </w:rPr>
      </w:pPr>
      <w:r>
        <w:rPr>
          <w:rFonts w:hint="eastAsia"/>
          <w:color w:val="auto"/>
        </w:rPr>
        <w:t>与国产服务器（CPU）适配改造工作</w:t>
      </w:r>
    </w:p>
    <w:p>
      <w:pPr>
        <w:ind w:firstLine="560" w:firstLineChars="200"/>
        <w:rPr>
          <w:rFonts w:hint="eastAsia" w:eastAsia="仿宋_GB2312"/>
          <w:color w:val="auto"/>
          <w:sz w:val="28"/>
          <w:szCs w:val="28"/>
        </w:rPr>
      </w:pPr>
      <w:r>
        <w:rPr>
          <w:rFonts w:hint="eastAsia" w:eastAsia="仿宋_GB2312"/>
          <w:color w:val="auto"/>
          <w:sz w:val="28"/>
          <w:szCs w:val="28"/>
        </w:rPr>
        <w:t>国产化CPU指令与传统CPU的运算规则的差异，可能导致系统模块性能出现变化，故需要对相应模块进行重新测试及相应的调整。</w:t>
      </w:r>
    </w:p>
    <w:p>
      <w:pPr>
        <w:pStyle w:val="12"/>
        <w:outlineLvl w:val="4"/>
        <w:rPr>
          <w:rFonts w:hint="eastAsia"/>
          <w:color w:val="auto"/>
        </w:rPr>
      </w:pPr>
      <w:r>
        <w:rPr>
          <w:rFonts w:hint="eastAsia"/>
          <w:color w:val="auto"/>
        </w:rPr>
        <w:t>与国产服务器操作系统适配改造工作</w:t>
      </w:r>
    </w:p>
    <w:p>
      <w:pPr>
        <w:ind w:firstLine="560" w:firstLineChars="200"/>
        <w:rPr>
          <w:rFonts w:hint="eastAsia" w:eastAsia="仿宋_GB2312"/>
          <w:color w:val="auto"/>
          <w:sz w:val="28"/>
          <w:szCs w:val="28"/>
          <w:lang w:eastAsia="zh-Hans"/>
        </w:rPr>
      </w:pPr>
      <w:r>
        <w:rPr>
          <w:rFonts w:hint="eastAsia" w:eastAsia="仿宋_GB2312"/>
          <w:color w:val="auto"/>
          <w:sz w:val="28"/>
          <w:szCs w:val="28"/>
        </w:rPr>
        <w:t>在系统考虑兼容不同的操作系统，这是因为不同的操作系统有不同的架构和特性。需要根据不同的操作系统开发兼容操作系统的工作和方案</w:t>
      </w:r>
      <w:r>
        <w:rPr>
          <w:rFonts w:hint="eastAsia" w:eastAsia="仿宋_GB2312"/>
          <w:color w:val="auto"/>
          <w:sz w:val="28"/>
          <w:szCs w:val="28"/>
          <w:lang w:eastAsia="zh-Hans"/>
        </w:rPr>
        <w:t>。</w:t>
      </w:r>
    </w:p>
    <w:p>
      <w:pPr>
        <w:pStyle w:val="12"/>
        <w:outlineLvl w:val="4"/>
        <w:rPr>
          <w:rFonts w:hint="eastAsia"/>
          <w:color w:val="auto"/>
        </w:rPr>
      </w:pPr>
      <w:r>
        <w:rPr>
          <w:rFonts w:hint="eastAsia"/>
          <w:color w:val="auto"/>
        </w:rPr>
        <w:t>与国产中间件适配改造工作</w:t>
      </w:r>
    </w:p>
    <w:p>
      <w:pPr>
        <w:ind w:firstLine="560" w:firstLineChars="200"/>
        <w:rPr>
          <w:rFonts w:hint="eastAsia" w:eastAsia="仿宋_GB2312"/>
          <w:color w:val="auto"/>
          <w:sz w:val="28"/>
          <w:szCs w:val="28"/>
        </w:rPr>
      </w:pPr>
      <w:r>
        <w:rPr>
          <w:rFonts w:hint="eastAsia" w:eastAsia="仿宋_GB2312"/>
          <w:color w:val="auto"/>
          <w:sz w:val="28"/>
          <w:szCs w:val="28"/>
        </w:rPr>
        <w:t>在实施东方通中间件之前，需要对客户的业务需求进行分析和评估，确定中间件的规模、性能要求、可用性和安全性需求等。按照东方通中间件的安装指南，安装并配置中间件软件，包括中间件实例的创建、用户权限的设置等。在中间件安装完成后，需要进行性能调优，包括中间件参数的优化、配置的优化等，以提高中间件的性能和稳定性。在东方通中间件实施完成后，需要建立系统监控和维护机制，包括中间件性能监控、日志分析、安全审计等，以保证系统的正常运行和安全性。</w:t>
      </w:r>
    </w:p>
    <w:p>
      <w:pPr>
        <w:pStyle w:val="12"/>
        <w:outlineLvl w:val="4"/>
        <w:rPr>
          <w:rFonts w:hint="eastAsia"/>
          <w:color w:val="auto"/>
        </w:rPr>
      </w:pPr>
      <w:r>
        <w:rPr>
          <w:rFonts w:hint="eastAsia"/>
          <w:color w:val="auto"/>
        </w:rPr>
        <w:t>与国产数据库适配改造工作</w:t>
      </w:r>
    </w:p>
    <w:p>
      <w:pPr>
        <w:ind w:firstLine="560" w:firstLineChars="200"/>
        <w:rPr>
          <w:rFonts w:hint="eastAsia" w:eastAsia="仿宋_GB2312"/>
          <w:color w:val="auto"/>
          <w:sz w:val="28"/>
          <w:szCs w:val="28"/>
        </w:rPr>
      </w:pPr>
      <w:r>
        <w:rPr>
          <w:rFonts w:hint="eastAsia" w:eastAsia="仿宋_GB2312"/>
          <w:color w:val="auto"/>
          <w:sz w:val="28"/>
          <w:szCs w:val="28"/>
        </w:rPr>
        <w:t>在实施达梦数据库之前，需要对业务进行分析与评估，确定数据库的规模、性能要求、可用性和安全性需求等。满足需求的前提下安装达梦数据库。安装完数据库后对数据库安装完成后，需要进行性能调优，包括数据库参数的优化、索引的创建和优化、SQL语句的优化等，以提高数据库的性能和稳定性。为了保证数据的完整性和一致性，在将数据迁移到达梦数据库之前，需要进行数据清洗和格式转换，并使用数据迁移工具将数据导入到达梦数据库中。在达梦数据库实施完成后，需要建立系统监控和维护机制，包括数据库性能监控、日志分析、安全审计等，以保证系统的正常运行和安全性。</w:t>
      </w:r>
    </w:p>
    <w:p>
      <w:pPr>
        <w:pStyle w:val="10"/>
        <w:outlineLvl w:val="2"/>
        <w:rPr>
          <w:rFonts w:hint="eastAsia"/>
          <w:color w:val="auto"/>
        </w:rPr>
      </w:pPr>
      <w:r>
        <w:rPr>
          <w:rFonts w:hint="eastAsia"/>
          <w:color w:val="auto"/>
        </w:rPr>
        <w:t>测试验证</w:t>
      </w:r>
    </w:p>
    <w:p>
      <w:pPr>
        <w:ind w:firstLine="560" w:firstLineChars="200"/>
        <w:rPr>
          <w:rFonts w:hint="eastAsia" w:eastAsia="仿宋_GB2312"/>
          <w:color w:val="auto"/>
          <w:sz w:val="28"/>
          <w:szCs w:val="28"/>
        </w:rPr>
      </w:pPr>
      <w:r>
        <w:rPr>
          <w:rFonts w:hint="eastAsia" w:eastAsia="仿宋_GB2312"/>
          <w:color w:val="auto"/>
          <w:sz w:val="28"/>
          <w:szCs w:val="28"/>
        </w:rPr>
        <w:t>基于数字政府应用软件适配中心提供的国产化测试验证环境，通过业务系统测试用例开展全面的业务功能测试，以保证业务系统能满足迁移前的服务能力。</w:t>
      </w:r>
    </w:p>
    <w:p>
      <w:pPr>
        <w:ind w:firstLine="560" w:firstLineChars="200"/>
        <w:rPr>
          <w:rFonts w:hint="eastAsia" w:eastAsia="仿宋_GB2312"/>
          <w:color w:val="auto"/>
          <w:sz w:val="28"/>
          <w:szCs w:val="28"/>
        </w:rPr>
      </w:pPr>
      <w:r>
        <w:rPr>
          <w:rFonts w:hint="eastAsia" w:eastAsia="仿宋_GB2312"/>
          <w:color w:val="auto"/>
          <w:sz w:val="28"/>
          <w:szCs w:val="28"/>
        </w:rPr>
        <w:t>通过在测试环境进行完整的集成测试、功能测试、性能测试、压力测试等，形成测试报告，完成测试环境的业务系统验证。</w:t>
      </w:r>
    </w:p>
    <w:p>
      <w:pPr>
        <w:pStyle w:val="10"/>
        <w:outlineLvl w:val="2"/>
        <w:rPr>
          <w:rFonts w:hint="eastAsia"/>
          <w:color w:val="auto"/>
        </w:rPr>
      </w:pPr>
      <w:r>
        <w:rPr>
          <w:rFonts w:hint="eastAsia"/>
          <w:color w:val="auto"/>
        </w:rPr>
        <w:t>数据迁移</w:t>
      </w:r>
    </w:p>
    <w:p>
      <w:pPr>
        <w:pStyle w:val="10"/>
        <w:numPr>
          <w:ilvl w:val="0"/>
          <w:numId w:val="0"/>
        </w:numPr>
        <w:ind w:firstLine="560" w:firstLineChars="200"/>
        <w:outlineLvl w:val="9"/>
        <w:rPr>
          <w:rFonts w:hint="eastAsia"/>
          <w:color w:val="auto"/>
        </w:rPr>
      </w:pPr>
      <w:r>
        <w:rPr>
          <w:rFonts w:hint="eastAsia"/>
          <w:b w:val="0"/>
          <w:color w:val="auto"/>
        </w:rPr>
        <w:t>国产数据库和MySQL体系结构上存在差异，MySQL语法也存在一定的差异。国产数据库针对MySQL做了部分兼容性。但由于有根本性的差异，兼容度不高。</w:t>
      </w:r>
      <w:r>
        <w:rPr>
          <w:rFonts w:hint="eastAsia"/>
          <w:b w:val="0"/>
          <w:color w:val="auto"/>
          <w:lang w:eastAsia="zh-Hans"/>
        </w:rPr>
        <w:t>需要实现将现有MYSQL迁移到国产化数据库中。</w:t>
      </w:r>
    </w:p>
    <w:p>
      <w:pPr>
        <w:pStyle w:val="9"/>
        <w:jc w:val="both"/>
        <w:outlineLvl w:val="1"/>
        <w:rPr>
          <w:rFonts w:hint="eastAsia" w:ascii="Times New Roman" w:hAnsi="Times New Roman"/>
          <w:color w:val="auto"/>
        </w:rPr>
      </w:pPr>
      <w:r>
        <w:rPr>
          <w:rFonts w:hint="eastAsia" w:ascii="Times New Roman" w:hAnsi="Times New Roman"/>
          <w:color w:val="auto"/>
        </w:rPr>
        <w:t>服务交付</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2343"/>
        <w:gridCol w:w="5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noWrap w:val="0"/>
            <w:vAlign w:val="center"/>
          </w:tcPr>
          <w:p>
            <w:pPr>
              <w:rPr>
                <w:rFonts w:hint="eastAsia" w:eastAsia="仿宋_GB2312"/>
                <w:b/>
                <w:bCs/>
                <w:color w:val="auto"/>
                <w:sz w:val="28"/>
                <w:szCs w:val="28"/>
              </w:rPr>
            </w:pPr>
            <w:r>
              <w:rPr>
                <w:rFonts w:hint="eastAsia" w:eastAsia="仿宋_GB2312"/>
                <w:b/>
                <w:bCs/>
                <w:color w:val="auto"/>
                <w:sz w:val="28"/>
                <w:szCs w:val="28"/>
              </w:rPr>
              <w:t>序号</w:t>
            </w:r>
          </w:p>
        </w:tc>
        <w:tc>
          <w:tcPr>
            <w:tcW w:w="2552" w:type="dxa"/>
            <w:noWrap w:val="0"/>
            <w:vAlign w:val="center"/>
          </w:tcPr>
          <w:p>
            <w:pPr>
              <w:rPr>
                <w:rFonts w:hint="eastAsia" w:eastAsia="仿宋_GB2312"/>
                <w:b/>
                <w:bCs/>
                <w:color w:val="auto"/>
                <w:sz w:val="28"/>
                <w:szCs w:val="28"/>
              </w:rPr>
            </w:pPr>
            <w:r>
              <w:rPr>
                <w:rFonts w:hint="eastAsia" w:eastAsia="仿宋_GB2312"/>
                <w:b/>
                <w:bCs/>
                <w:color w:val="auto"/>
                <w:sz w:val="28"/>
                <w:szCs w:val="28"/>
              </w:rPr>
              <w:t>服务内容</w:t>
            </w:r>
          </w:p>
        </w:tc>
        <w:tc>
          <w:tcPr>
            <w:tcW w:w="5917" w:type="dxa"/>
            <w:noWrap w:val="0"/>
            <w:vAlign w:val="center"/>
          </w:tcPr>
          <w:p>
            <w:pPr>
              <w:rPr>
                <w:rFonts w:hint="eastAsia" w:eastAsia="仿宋_GB2312"/>
                <w:b/>
                <w:bCs/>
                <w:color w:val="auto"/>
                <w:sz w:val="28"/>
                <w:szCs w:val="28"/>
              </w:rPr>
            </w:pPr>
            <w:r>
              <w:rPr>
                <w:rFonts w:hint="eastAsia" w:eastAsia="仿宋_GB2312"/>
                <w:b/>
                <w:bCs/>
                <w:color w:val="auto"/>
                <w:sz w:val="28"/>
                <w:szCs w:val="28"/>
              </w:rPr>
              <w:t>交付文档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noWrap w:val="0"/>
            <w:vAlign w:val="center"/>
          </w:tcPr>
          <w:p>
            <w:pPr>
              <w:rPr>
                <w:rFonts w:hint="eastAsia" w:eastAsia="仿宋_GB2312"/>
                <w:color w:val="auto"/>
                <w:sz w:val="28"/>
                <w:szCs w:val="28"/>
              </w:rPr>
            </w:pPr>
            <w:r>
              <w:rPr>
                <w:rFonts w:hint="eastAsia" w:eastAsia="仿宋_GB2312"/>
                <w:color w:val="auto"/>
                <w:sz w:val="28"/>
                <w:szCs w:val="28"/>
              </w:rPr>
              <w:t>1</w:t>
            </w:r>
          </w:p>
        </w:tc>
        <w:tc>
          <w:tcPr>
            <w:tcW w:w="2552" w:type="dxa"/>
            <w:noWrap w:val="0"/>
            <w:vAlign w:val="center"/>
          </w:tcPr>
          <w:p>
            <w:pPr>
              <w:rPr>
                <w:rFonts w:hint="eastAsia" w:eastAsia="仿宋_GB2312"/>
                <w:color w:val="auto"/>
                <w:sz w:val="28"/>
                <w:szCs w:val="28"/>
              </w:rPr>
            </w:pPr>
            <w:r>
              <w:rPr>
                <w:rFonts w:hint="eastAsia" w:eastAsia="仿宋_GB2312"/>
                <w:color w:val="auto"/>
                <w:sz w:val="28"/>
                <w:szCs w:val="28"/>
              </w:rPr>
              <w:t>业务管理运营服务</w:t>
            </w:r>
          </w:p>
        </w:tc>
        <w:tc>
          <w:tcPr>
            <w:tcW w:w="5917" w:type="dxa"/>
            <w:noWrap w:val="0"/>
            <w:vAlign w:val="center"/>
          </w:tcPr>
          <w:p>
            <w:pPr>
              <w:rPr>
                <w:rFonts w:hint="eastAsia" w:eastAsia="仿宋_GB2312"/>
                <w:color w:val="auto"/>
                <w:sz w:val="28"/>
                <w:szCs w:val="28"/>
              </w:rPr>
            </w:pPr>
            <w:r>
              <w:rPr>
                <w:rFonts w:hint="eastAsia" w:eastAsia="仿宋_GB2312"/>
                <w:color w:val="auto"/>
                <w:sz w:val="28"/>
                <w:szCs w:val="28"/>
              </w:rPr>
              <w:t>可视化表单，PDF可视化，合同对比适配服务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noWrap w:val="0"/>
            <w:vAlign w:val="center"/>
          </w:tcPr>
          <w:p>
            <w:pPr>
              <w:rPr>
                <w:rFonts w:hint="eastAsia" w:eastAsia="仿宋_GB2312"/>
                <w:color w:val="auto"/>
                <w:sz w:val="28"/>
                <w:szCs w:val="28"/>
              </w:rPr>
            </w:pPr>
            <w:r>
              <w:rPr>
                <w:rFonts w:hint="eastAsia" w:eastAsia="仿宋_GB2312"/>
                <w:color w:val="auto"/>
                <w:sz w:val="28"/>
                <w:szCs w:val="28"/>
              </w:rPr>
              <w:t>2</w:t>
            </w:r>
          </w:p>
        </w:tc>
        <w:tc>
          <w:tcPr>
            <w:tcW w:w="2552" w:type="dxa"/>
            <w:noWrap w:val="0"/>
            <w:vAlign w:val="center"/>
          </w:tcPr>
          <w:p>
            <w:pPr>
              <w:rPr>
                <w:rFonts w:hint="eastAsia" w:eastAsia="仿宋_GB2312"/>
                <w:color w:val="auto"/>
                <w:sz w:val="28"/>
                <w:szCs w:val="28"/>
              </w:rPr>
            </w:pPr>
            <w:r>
              <w:rPr>
                <w:rFonts w:hint="eastAsia" w:eastAsia="仿宋_GB2312"/>
                <w:color w:val="auto"/>
                <w:sz w:val="28"/>
                <w:szCs w:val="28"/>
              </w:rPr>
              <w:t>数据处理运营服务</w:t>
            </w:r>
          </w:p>
        </w:tc>
        <w:tc>
          <w:tcPr>
            <w:tcW w:w="5917" w:type="dxa"/>
            <w:noWrap w:val="0"/>
            <w:vAlign w:val="center"/>
          </w:tcPr>
          <w:p>
            <w:pPr>
              <w:rPr>
                <w:rFonts w:hint="eastAsia" w:eastAsia="仿宋_GB2312"/>
                <w:color w:val="auto"/>
                <w:sz w:val="28"/>
                <w:szCs w:val="28"/>
              </w:rPr>
            </w:pPr>
            <w:r>
              <w:rPr>
                <w:rFonts w:hint="eastAsia" w:eastAsia="仿宋_GB2312"/>
                <w:color w:val="auto"/>
                <w:sz w:val="28"/>
                <w:szCs w:val="28"/>
              </w:rPr>
              <w:t>数据备份管理功能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7" w:type="dxa"/>
            <w:noWrap w:val="0"/>
            <w:vAlign w:val="center"/>
          </w:tcPr>
          <w:p>
            <w:pPr>
              <w:rPr>
                <w:rFonts w:hint="eastAsia" w:eastAsia="仿宋_GB2312"/>
                <w:color w:val="auto"/>
                <w:sz w:val="28"/>
                <w:szCs w:val="28"/>
              </w:rPr>
            </w:pPr>
            <w:r>
              <w:rPr>
                <w:rFonts w:hint="eastAsia" w:eastAsia="仿宋_GB2312"/>
                <w:color w:val="auto"/>
                <w:sz w:val="28"/>
                <w:szCs w:val="28"/>
              </w:rPr>
              <w:t>3</w:t>
            </w:r>
          </w:p>
        </w:tc>
        <w:tc>
          <w:tcPr>
            <w:tcW w:w="2552" w:type="dxa"/>
            <w:noWrap w:val="0"/>
            <w:vAlign w:val="center"/>
          </w:tcPr>
          <w:p>
            <w:pPr>
              <w:rPr>
                <w:rFonts w:hint="eastAsia" w:eastAsia="仿宋_GB2312"/>
                <w:color w:val="auto"/>
                <w:sz w:val="28"/>
                <w:szCs w:val="28"/>
              </w:rPr>
            </w:pPr>
            <w:r>
              <w:rPr>
                <w:rFonts w:hint="eastAsia" w:eastAsia="仿宋_GB2312"/>
                <w:color w:val="auto"/>
                <w:sz w:val="28"/>
                <w:szCs w:val="28"/>
              </w:rPr>
              <w:t>其他业务运营服务</w:t>
            </w:r>
          </w:p>
        </w:tc>
        <w:tc>
          <w:tcPr>
            <w:tcW w:w="5917" w:type="dxa"/>
            <w:noWrap w:val="0"/>
            <w:vAlign w:val="center"/>
          </w:tcPr>
          <w:p>
            <w:pPr>
              <w:rPr>
                <w:rFonts w:hint="eastAsia" w:eastAsia="仿宋_GB2312"/>
                <w:color w:val="auto"/>
                <w:sz w:val="28"/>
                <w:szCs w:val="28"/>
              </w:rPr>
            </w:pPr>
            <w:r>
              <w:rPr>
                <w:rFonts w:hint="eastAsia" w:eastAsia="仿宋_GB2312"/>
                <w:color w:val="auto"/>
                <w:sz w:val="28"/>
                <w:szCs w:val="28"/>
              </w:rPr>
              <w:t>国产化环境适配</w:t>
            </w:r>
          </w:p>
        </w:tc>
      </w:tr>
    </w:tbl>
    <w:p>
      <w:pPr>
        <w:pStyle w:val="7"/>
        <w:jc w:val="both"/>
        <w:rPr>
          <w:rFonts w:ascii="Times New Roman" w:hAnsi="Times New Roman"/>
          <w:color w:val="auto"/>
        </w:rPr>
      </w:pPr>
      <w:r>
        <w:rPr>
          <w:rFonts w:ascii="Times New Roman" w:hAnsi="Times New Roman"/>
          <w:color w:val="auto"/>
        </w:rPr>
        <w:t>服务要求</w:t>
      </w:r>
    </w:p>
    <w:p>
      <w:pPr>
        <w:pStyle w:val="8"/>
        <w:jc w:val="both"/>
        <w:rPr>
          <w:rFonts w:hint="eastAsia" w:ascii="Times New Roman" w:hAnsi="Times New Roman"/>
          <w:color w:val="auto"/>
        </w:rPr>
      </w:pPr>
      <w:r>
        <w:rPr>
          <w:rFonts w:hint="eastAsia" w:ascii="Times New Roman" w:hAnsi="Times New Roman"/>
          <w:color w:val="auto"/>
        </w:rPr>
        <w:t>服务人员</w:t>
      </w:r>
    </w:p>
    <w:p>
      <w:pPr>
        <w:ind w:firstLine="560" w:firstLineChars="200"/>
        <w:rPr>
          <w:rFonts w:hint="eastAsia" w:eastAsia="仿宋_GB2312"/>
          <w:color w:val="auto"/>
          <w:sz w:val="28"/>
          <w:szCs w:val="28"/>
        </w:rPr>
      </w:pPr>
      <w:r>
        <w:rPr>
          <w:rFonts w:hint="eastAsia" w:eastAsia="仿宋_GB2312"/>
          <w:color w:val="auto"/>
          <w:sz w:val="28"/>
          <w:szCs w:val="28"/>
        </w:rPr>
        <w:t>投标人须书面承诺，如在项目实际执行过程中发生项目经理不能按采购文件要求胜任相关工作的，采购人有权要求更换项目经理，投标人必须在两周内调整为符合采购文件要求且能胜任相关工作的项目经理并到位开展工作，否则采购人有权终止合同并报相关管理部门进行处理。</w:t>
      </w:r>
    </w:p>
    <w:p>
      <w:pPr>
        <w:ind w:firstLine="560" w:firstLineChars="200"/>
        <w:rPr>
          <w:rFonts w:hint="eastAsia" w:eastAsia="仿宋_GB2312"/>
          <w:color w:val="auto"/>
          <w:sz w:val="28"/>
          <w:szCs w:val="28"/>
        </w:rPr>
      </w:pPr>
      <w:r>
        <w:rPr>
          <w:rFonts w:hint="eastAsia" w:eastAsia="仿宋_GB2312"/>
          <w:color w:val="auto"/>
          <w:sz w:val="28"/>
          <w:szCs w:val="28"/>
        </w:rPr>
        <w:t>投标人承诺的项目经理和开发实施的主要人员未经用户同意不得调整；投标人如中途更换项目经理和主要开发技术人员，应征得用户同意，否则采购人有权终止合同。</w:t>
      </w:r>
    </w:p>
    <w:p>
      <w:pPr>
        <w:ind w:firstLine="560" w:firstLineChars="200"/>
        <w:rPr>
          <w:rFonts w:hint="eastAsia" w:eastAsia="仿宋_GB2312"/>
          <w:color w:val="auto"/>
          <w:sz w:val="28"/>
          <w:szCs w:val="28"/>
        </w:rPr>
      </w:pPr>
      <w:r>
        <w:rPr>
          <w:rFonts w:hint="eastAsia" w:eastAsia="仿宋_GB2312"/>
          <w:color w:val="auto"/>
          <w:sz w:val="28"/>
          <w:szCs w:val="28"/>
        </w:rPr>
        <w:t xml:space="preserve">服务商应指派固定的团队为本项目提供专业服务，服务团队成员不得少于6人。项目经理应具备 </w:t>
      </w:r>
      <w:r>
        <w:rPr>
          <w:rFonts w:eastAsia="仿宋_GB2312"/>
          <w:color w:val="auto"/>
          <w:sz w:val="28"/>
          <w:szCs w:val="28"/>
        </w:rPr>
        <w:t>5</w:t>
      </w:r>
      <w:r>
        <w:rPr>
          <w:rFonts w:hint="eastAsia" w:eastAsia="仿宋_GB2312"/>
          <w:color w:val="auto"/>
          <w:sz w:val="28"/>
          <w:szCs w:val="28"/>
        </w:rPr>
        <w:t>年以上</w:t>
      </w:r>
      <w:r>
        <w:rPr>
          <w:rFonts w:hint="eastAsia" w:eastAsia="仿宋_GB2312"/>
          <w:color w:val="auto"/>
          <w:sz w:val="28"/>
          <w:szCs w:val="28"/>
          <w:lang w:eastAsia="zh-Hans"/>
        </w:rPr>
        <w:t>信息化项目工作</w:t>
      </w:r>
      <w:r>
        <w:rPr>
          <w:rFonts w:hint="eastAsia" w:eastAsia="仿宋_GB2312"/>
          <w:color w:val="auto"/>
          <w:sz w:val="28"/>
          <w:szCs w:val="28"/>
        </w:rPr>
        <w:t>经验。</w:t>
      </w:r>
    </w:p>
    <w:p>
      <w:pPr>
        <w:ind w:firstLine="560" w:firstLineChars="200"/>
        <w:rPr>
          <w:rFonts w:eastAsia="楷体_GB2312"/>
          <w:i/>
          <w:color w:val="auto"/>
          <w:sz w:val="28"/>
          <w:szCs w:val="28"/>
        </w:rPr>
      </w:pPr>
      <w:r>
        <w:rPr>
          <w:rFonts w:hint="eastAsia" w:eastAsia="仿宋_GB2312"/>
          <w:color w:val="auto"/>
          <w:sz w:val="28"/>
          <w:szCs w:val="28"/>
        </w:rPr>
        <w:t>如须调整服务团队成员，须书面向采购人提出申请，说明申请理由，经采购人书面同意方可调整团队人员，调入人员的资历和从业经验不低于调出人员，否则视为违约行为，采购人有权终止服务合同。</w:t>
      </w:r>
    </w:p>
    <w:p>
      <w:pPr>
        <w:pStyle w:val="8"/>
        <w:jc w:val="both"/>
        <w:rPr>
          <w:rFonts w:hint="eastAsia" w:ascii="Times New Roman" w:hAnsi="Times New Roman"/>
          <w:color w:val="auto"/>
        </w:rPr>
      </w:pPr>
      <w:r>
        <w:rPr>
          <w:rFonts w:hint="eastAsia" w:ascii="Times New Roman" w:hAnsi="Times New Roman"/>
          <w:color w:val="auto"/>
        </w:rPr>
        <w:t>进度要求</w:t>
      </w:r>
    </w:p>
    <w:p>
      <w:pPr>
        <w:ind w:firstLine="560" w:firstLineChars="200"/>
        <w:rPr>
          <w:rFonts w:eastAsia="楷体_GB2312"/>
          <w:i/>
          <w:color w:val="auto"/>
          <w:sz w:val="28"/>
          <w:szCs w:val="28"/>
        </w:rPr>
      </w:pPr>
      <w:r>
        <w:rPr>
          <w:rFonts w:hint="eastAsia" w:eastAsia="仿宋_GB2312"/>
          <w:color w:val="auto"/>
          <w:sz w:val="28"/>
          <w:szCs w:val="28"/>
        </w:rPr>
        <w:t>本项目服务周期为12个月。本项目中实施进度计划严格按照本项目的实施任务和进度要求，通过关键节点、里程碑事件的监控，来控制项目工作的进展和保证实现总目标，并按照最终客户规定的进度要求，按时交付阶段成果并经最终客户评审确认</w:t>
      </w:r>
      <w:r>
        <w:rPr>
          <w:rFonts w:eastAsia="楷体_GB2312"/>
          <w:i/>
          <w:color w:val="auto"/>
          <w:sz w:val="28"/>
          <w:szCs w:val="28"/>
        </w:rPr>
        <w:t>。</w:t>
      </w:r>
    </w:p>
    <w:p>
      <w:pPr>
        <w:pStyle w:val="8"/>
        <w:jc w:val="both"/>
        <w:rPr>
          <w:rFonts w:hint="eastAsia" w:ascii="Times New Roman" w:hAnsi="Times New Roman"/>
          <w:color w:val="auto"/>
        </w:rPr>
      </w:pPr>
      <w:r>
        <w:rPr>
          <w:rFonts w:hint="eastAsia" w:ascii="Times New Roman" w:hAnsi="Times New Roman"/>
          <w:color w:val="auto"/>
        </w:rPr>
        <w:t>组织实施要求</w:t>
      </w:r>
    </w:p>
    <w:p>
      <w:pPr>
        <w:ind w:firstLine="560" w:firstLineChars="200"/>
        <w:rPr>
          <w:rFonts w:eastAsia="楷体_GB2312"/>
          <w:i/>
          <w:color w:val="auto"/>
          <w:sz w:val="28"/>
          <w:szCs w:val="28"/>
        </w:rPr>
      </w:pPr>
      <w:r>
        <w:rPr>
          <w:rFonts w:hint="eastAsia" w:eastAsia="仿宋_GB2312"/>
          <w:color w:val="auto"/>
          <w:sz w:val="28"/>
          <w:szCs w:val="28"/>
        </w:rPr>
        <w:t>为使项目按质、按量、按时及有序实施，投标人应建立完善、稳定的项目团队、内部组织管理方式及管理机构、协调机制、技术基础，支撑保障要求及其他相关要求。在项目日常管理和条件保障方面，从行政组织、后勤保障和支撑条件各方面创造良好的服务环境，确保项目的顺利实施。</w:t>
      </w:r>
    </w:p>
    <w:p>
      <w:pPr>
        <w:pStyle w:val="8"/>
        <w:jc w:val="both"/>
        <w:rPr>
          <w:rFonts w:ascii="Times New Roman" w:hAnsi="Times New Roman"/>
          <w:color w:val="auto"/>
        </w:rPr>
      </w:pPr>
      <w:r>
        <w:rPr>
          <w:rFonts w:ascii="Times New Roman" w:hAnsi="Times New Roman"/>
          <w:color w:val="auto"/>
        </w:rPr>
        <w:t>文档管理要求</w:t>
      </w:r>
    </w:p>
    <w:p>
      <w:pPr>
        <w:ind w:firstLine="560" w:firstLineChars="200"/>
        <w:rPr>
          <w:rFonts w:hint="eastAsia" w:eastAsia="仿宋_GB2312"/>
          <w:color w:val="auto"/>
          <w:sz w:val="28"/>
          <w:szCs w:val="28"/>
        </w:rPr>
      </w:pPr>
      <w:r>
        <w:rPr>
          <w:rFonts w:hint="eastAsia" w:eastAsia="仿宋_GB2312"/>
          <w:color w:val="auto"/>
          <w:sz w:val="28"/>
          <w:szCs w:val="28"/>
        </w:rPr>
        <w:t>投标人应在项目完成时，将本项目所有文档、资料汇集成册交付给采购人，所有文件要求用中文书写或有完整的中文注释。验收后，投标人按国家、省以及采购人档案管理要求，向采购人提供装订成册的纸质文档至少1套，电子文档</w:t>
      </w:r>
      <w:r>
        <w:rPr>
          <w:rFonts w:eastAsia="仿宋_GB2312"/>
          <w:color w:val="auto"/>
          <w:sz w:val="28"/>
          <w:szCs w:val="28"/>
        </w:rPr>
        <w:t>1</w:t>
      </w:r>
      <w:r>
        <w:rPr>
          <w:rFonts w:hint="eastAsia" w:eastAsia="仿宋_GB2312"/>
          <w:color w:val="auto"/>
          <w:sz w:val="28"/>
          <w:szCs w:val="28"/>
        </w:rPr>
        <w:t>套。</w:t>
      </w:r>
    </w:p>
    <w:p>
      <w:pPr>
        <w:pStyle w:val="8"/>
        <w:jc w:val="both"/>
        <w:rPr>
          <w:rFonts w:ascii="Times New Roman" w:hAnsi="Times New Roman"/>
          <w:color w:val="auto"/>
        </w:rPr>
      </w:pPr>
      <w:r>
        <w:rPr>
          <w:rFonts w:ascii="Times New Roman" w:hAnsi="Times New Roman"/>
          <w:color w:val="auto"/>
        </w:rPr>
        <w:t>质量保证要求</w:t>
      </w:r>
    </w:p>
    <w:p>
      <w:pPr>
        <w:ind w:firstLine="560" w:firstLineChars="200"/>
        <w:rPr>
          <w:rFonts w:eastAsia="楷体_GB2312"/>
          <w:i/>
          <w:color w:val="auto"/>
          <w:sz w:val="28"/>
          <w:szCs w:val="28"/>
        </w:rPr>
      </w:pPr>
      <w:r>
        <w:rPr>
          <w:rFonts w:hint="eastAsia" w:eastAsia="仿宋_GB2312"/>
          <w:color w:val="auto"/>
          <w:sz w:val="28"/>
          <w:szCs w:val="28"/>
        </w:rPr>
        <w:t>为保证本项目能按时高质的顺利完成，规避项目风险或将风险降至最低程度，投标人应建立项目质量管理体系，包括但不限于质量目标、质量指标、岗位责任、问题处理计划、质量评价、整改完善等内容，并建立奖惩制度</w:t>
      </w:r>
      <w:r>
        <w:rPr>
          <w:rFonts w:eastAsia="楷体_GB2312"/>
          <w:i/>
          <w:color w:val="auto"/>
          <w:sz w:val="28"/>
          <w:szCs w:val="28"/>
        </w:rPr>
        <w:t>。</w:t>
      </w:r>
    </w:p>
    <w:p>
      <w:pPr>
        <w:pStyle w:val="8"/>
        <w:jc w:val="both"/>
        <w:outlineLvl w:val="2"/>
        <w:rPr>
          <w:rFonts w:ascii="Times New Roman" w:hAnsi="Times New Roman"/>
          <w:color w:val="auto"/>
        </w:rPr>
      </w:pPr>
      <w:r>
        <w:rPr>
          <w:rFonts w:ascii="Times New Roman" w:hAnsi="Times New Roman"/>
          <w:color w:val="auto"/>
        </w:rPr>
        <w:t>验收标准</w:t>
      </w:r>
    </w:p>
    <w:p>
      <w:pPr>
        <w:spacing w:line="360" w:lineRule="auto"/>
        <w:ind w:firstLine="560" w:firstLineChars="200"/>
        <w:rPr>
          <w:rFonts w:hint="eastAsia" w:ascii="仿宋_GB2312" w:eastAsia="仿宋_GB2312"/>
          <w:iCs/>
          <w:color w:val="auto"/>
          <w:sz w:val="28"/>
          <w:szCs w:val="28"/>
        </w:rPr>
      </w:pPr>
      <w:r>
        <w:rPr>
          <w:rFonts w:hint="eastAsia" w:ascii="仿宋_GB2312" w:eastAsia="仿宋_GB2312"/>
          <w:iCs/>
          <w:color w:val="auto"/>
          <w:sz w:val="28"/>
          <w:szCs w:val="28"/>
        </w:rPr>
        <w:t>本项目将按照《广东省省级政务信息化项目管理办法（修订）》（粤府办〔2023〕22号）等有关规定进行验收，同时应遵循下列标准：</w:t>
      </w:r>
    </w:p>
    <w:p>
      <w:pPr>
        <w:ind w:firstLine="560" w:firstLineChars="200"/>
        <w:jc w:val="left"/>
        <w:rPr>
          <w:rFonts w:hint="eastAsia" w:ascii="仿宋_GB2312" w:eastAsia="仿宋_GB2312"/>
          <w:iCs/>
          <w:color w:val="auto"/>
          <w:sz w:val="28"/>
          <w:szCs w:val="28"/>
        </w:rPr>
      </w:pPr>
      <w:r>
        <w:rPr>
          <w:rFonts w:hint="eastAsia" w:ascii="仿宋_GB2312" w:eastAsia="仿宋_GB2312"/>
          <w:iCs/>
          <w:color w:val="auto"/>
          <w:sz w:val="28"/>
          <w:szCs w:val="28"/>
        </w:rPr>
        <w:t>（1）实现合同合同及其附件材料（包括采购文件、响应文件等）中列举的全部内容。</w:t>
      </w:r>
    </w:p>
    <w:p>
      <w:pPr>
        <w:ind w:firstLine="560" w:firstLineChars="200"/>
        <w:jc w:val="left"/>
        <w:rPr>
          <w:rFonts w:hint="eastAsia" w:ascii="仿宋_GB2312" w:eastAsia="仿宋_GB2312"/>
          <w:iCs/>
          <w:color w:val="auto"/>
          <w:sz w:val="28"/>
          <w:szCs w:val="28"/>
        </w:rPr>
      </w:pPr>
      <w:r>
        <w:rPr>
          <w:rFonts w:hint="eastAsia" w:ascii="仿宋_GB2312" w:eastAsia="仿宋_GB2312"/>
          <w:iCs/>
          <w:color w:val="auto"/>
          <w:sz w:val="28"/>
          <w:szCs w:val="28"/>
        </w:rPr>
        <w:t>（2）项目验收材料包括按照合同及其附件（包括采购文件、响应文件等）明确的相关成果文档和省</w:t>
      </w:r>
      <w:r>
        <w:rPr>
          <w:rFonts w:hint="eastAsia" w:ascii="仿宋_GB2312" w:hAnsi="宋体" w:eastAsia="仿宋_GB2312" w:cs="宋体"/>
          <w:iCs/>
          <w:color w:val="auto"/>
          <w:sz w:val="28"/>
          <w:szCs w:val="28"/>
        </w:rPr>
        <w:t>级政务信息化项目验收管理办法所要求</w:t>
      </w:r>
      <w:r>
        <w:rPr>
          <w:rFonts w:hint="eastAsia" w:ascii="仿宋_GB2312" w:eastAsia="仿宋_GB2312"/>
          <w:iCs/>
          <w:color w:val="auto"/>
          <w:sz w:val="28"/>
          <w:szCs w:val="28"/>
        </w:rPr>
        <w:t>的全部文档。</w:t>
      </w:r>
    </w:p>
    <w:p>
      <w:pPr>
        <w:pStyle w:val="8"/>
        <w:jc w:val="both"/>
        <w:outlineLvl w:val="2"/>
        <w:rPr>
          <w:rFonts w:ascii="Times New Roman" w:hAnsi="Times New Roman"/>
          <w:color w:val="auto"/>
        </w:rPr>
      </w:pPr>
      <w:r>
        <w:rPr>
          <w:rFonts w:ascii="Times New Roman" w:hAnsi="Times New Roman"/>
          <w:color w:val="auto"/>
        </w:rPr>
        <w:t>其他要求</w:t>
      </w:r>
    </w:p>
    <w:p>
      <w:pPr>
        <w:pStyle w:val="9"/>
        <w:jc w:val="both"/>
        <w:outlineLvl w:val="1"/>
        <w:rPr>
          <w:rFonts w:ascii="Times New Roman" w:hAnsi="Times New Roman"/>
          <w:color w:val="auto"/>
        </w:rPr>
      </w:pPr>
      <w:r>
        <w:rPr>
          <w:rFonts w:ascii="Times New Roman" w:hAnsi="Times New Roman"/>
          <w:color w:val="auto"/>
        </w:rPr>
        <w:t>服务响应要求</w:t>
      </w:r>
    </w:p>
    <w:p>
      <w:pPr>
        <w:ind w:firstLine="560" w:firstLineChars="200"/>
        <w:rPr>
          <w:color w:val="auto"/>
        </w:rPr>
      </w:pPr>
      <w:r>
        <w:rPr>
          <w:rFonts w:hint="eastAsia" w:eastAsia="仿宋_GB2312"/>
          <w:color w:val="auto"/>
          <w:sz w:val="28"/>
          <w:szCs w:val="28"/>
        </w:rPr>
        <w:t>中标人须提供详细的项目运营服务方案。服务响应可通过现场、远程等方式提供，由此产生的一切费用均由中标人承担。</w:t>
      </w:r>
    </w:p>
    <w:p>
      <w:pPr>
        <w:pStyle w:val="9"/>
        <w:jc w:val="both"/>
        <w:outlineLvl w:val="1"/>
        <w:rPr>
          <w:rFonts w:ascii="Times New Roman" w:hAnsi="Times New Roman"/>
          <w:color w:val="auto"/>
        </w:rPr>
      </w:pPr>
      <w:r>
        <w:rPr>
          <w:rFonts w:ascii="Times New Roman" w:hAnsi="Times New Roman"/>
          <w:color w:val="auto"/>
        </w:rPr>
        <w:t>资产权属</w:t>
      </w:r>
    </w:p>
    <w:p>
      <w:pPr>
        <w:ind w:firstLine="560" w:firstLineChars="200"/>
        <w:rPr>
          <w:rFonts w:hint="eastAsia" w:eastAsia="仿宋_GB2312"/>
          <w:color w:val="auto"/>
          <w:sz w:val="28"/>
          <w:szCs w:val="28"/>
        </w:rPr>
      </w:pPr>
      <w:r>
        <w:rPr>
          <w:rFonts w:hint="eastAsia" w:eastAsia="仿宋_GB2312"/>
          <w:color w:val="auto"/>
          <w:sz w:val="28"/>
          <w:szCs w:val="28"/>
        </w:rPr>
        <w:t>1.本项目不会引起任何已申请、登记的知识产权所有权的转移。</w:t>
      </w:r>
    </w:p>
    <w:p>
      <w:pPr>
        <w:ind w:firstLine="560" w:firstLineChars="200"/>
        <w:rPr>
          <w:rFonts w:hint="eastAsia" w:eastAsia="仿宋_GB2312"/>
          <w:color w:val="auto"/>
          <w:sz w:val="28"/>
          <w:szCs w:val="28"/>
        </w:rPr>
      </w:pPr>
      <w:r>
        <w:rPr>
          <w:rFonts w:hint="eastAsia" w:eastAsia="仿宋_GB2312"/>
          <w:color w:val="auto"/>
          <w:sz w:val="28"/>
          <w:szCs w:val="28"/>
        </w:rPr>
        <w:t>2.投标人为履行本项目义务所形成的服务成果的知识产权归采购人单独所有。</w:t>
      </w:r>
    </w:p>
    <w:p>
      <w:pPr>
        <w:ind w:firstLine="560" w:firstLineChars="200"/>
        <w:rPr>
          <w:rFonts w:hint="eastAsia" w:eastAsia="仿宋_GB2312"/>
          <w:color w:val="auto"/>
          <w:sz w:val="28"/>
          <w:szCs w:val="28"/>
        </w:rPr>
      </w:pPr>
      <w:r>
        <w:rPr>
          <w:rFonts w:hint="eastAsia" w:eastAsia="仿宋_GB2312"/>
          <w:color w:val="auto"/>
          <w:sz w:val="28"/>
          <w:szCs w:val="28"/>
        </w:rPr>
        <w:t>3.本项目所涉及的数据所有权归省科技厅所有。投标人只能用于履行本项目之义务。</w:t>
      </w:r>
    </w:p>
    <w:p>
      <w:pPr>
        <w:ind w:firstLine="560" w:firstLineChars="200"/>
        <w:rPr>
          <w:rFonts w:eastAsia="楷体_GB2312"/>
          <w:i/>
          <w:color w:val="auto"/>
          <w:sz w:val="28"/>
          <w:szCs w:val="28"/>
        </w:rPr>
      </w:pPr>
      <w:r>
        <w:rPr>
          <w:rFonts w:hint="eastAsia" w:eastAsia="仿宋_GB2312"/>
          <w:color w:val="auto"/>
          <w:sz w:val="28"/>
          <w:szCs w:val="28"/>
        </w:rPr>
        <w:t>4.投标人保证向采购人提供的服务成果是其独立实施完成，不存在任何侵犯第三方专利权、商标权、著作权等合法权益。如因投标人提供的服务成果侵犯任何第三方的合法权益，导致该第三方追究采购人责任的，投标人应负责解决并赔偿因此给采购人造成的全部损失。</w:t>
      </w:r>
    </w:p>
    <w:p>
      <w:pPr>
        <w:pStyle w:val="9"/>
        <w:jc w:val="both"/>
        <w:outlineLvl w:val="1"/>
        <w:rPr>
          <w:rFonts w:ascii="Times New Roman" w:hAnsi="Times New Roman"/>
          <w:color w:val="auto"/>
        </w:rPr>
      </w:pPr>
      <w:r>
        <w:rPr>
          <w:rFonts w:ascii="Times New Roman" w:hAnsi="Times New Roman"/>
          <w:color w:val="auto"/>
        </w:rPr>
        <w:t>保密要求</w:t>
      </w:r>
    </w:p>
    <w:p>
      <w:pPr>
        <w:ind w:firstLine="560" w:firstLineChars="200"/>
        <w:rPr>
          <w:rFonts w:hint="eastAsia" w:eastAsia="仿宋_GB2312"/>
          <w:color w:val="auto"/>
          <w:sz w:val="28"/>
          <w:szCs w:val="28"/>
        </w:rPr>
      </w:pPr>
      <w:r>
        <w:rPr>
          <w:rFonts w:hint="eastAsia" w:eastAsia="仿宋_GB2312"/>
          <w:color w:val="auto"/>
          <w:sz w:val="28"/>
          <w:szCs w:val="28"/>
        </w:rPr>
        <w:t>1.投标人应签订保密协议，对其因身份、职务、职业或技术关系而知悉的采购人商业秘密和党政机关保密信息应严格保守，保证不被披露或使用，包括意外或过失。</w:t>
      </w:r>
    </w:p>
    <w:p>
      <w:pPr>
        <w:ind w:firstLine="560" w:firstLineChars="200"/>
        <w:rPr>
          <w:rFonts w:hint="eastAsia" w:eastAsia="仿宋_GB2312"/>
          <w:color w:val="auto"/>
          <w:sz w:val="28"/>
          <w:szCs w:val="28"/>
        </w:rPr>
      </w:pPr>
      <w:r>
        <w:rPr>
          <w:rFonts w:hint="eastAsia" w:eastAsia="仿宋_GB2312"/>
          <w:color w:val="auto"/>
          <w:sz w:val="28"/>
          <w:szCs w:val="28"/>
        </w:rPr>
        <w:t xml:space="preserve">2.投标人不得以竞争为目的、或出于私利、或为第三人谋利而擅自保存、披露、使用采购人商业秘密和党政机关保密信息；不得直接或间接地向无关人员泄露采购人的商业秘密和党政机关保密信息；不得向不承担保密义务的任何第三人披露采购人的商业秘密和党政机关保密信息。投标人在从事政府项目时，不得擅自记录、复制、拍摄、摘抄、收藏在工作中涉及的保密信息，严禁将涉及政府项目的任何资料、数据透露或以其他方式提供给项目以外的其他方或投标人内部与该项目无关的任何人员。 </w:t>
      </w:r>
    </w:p>
    <w:p>
      <w:pPr>
        <w:ind w:firstLine="560" w:firstLineChars="200"/>
        <w:rPr>
          <w:rFonts w:hint="eastAsia" w:eastAsia="仿宋_GB2312"/>
          <w:color w:val="auto"/>
          <w:sz w:val="28"/>
          <w:szCs w:val="28"/>
        </w:rPr>
      </w:pPr>
      <w:r>
        <w:rPr>
          <w:rFonts w:hint="eastAsia" w:eastAsia="仿宋_GB2312"/>
          <w:color w:val="auto"/>
          <w:sz w:val="28"/>
          <w:szCs w:val="28"/>
        </w:rPr>
        <w:t xml:space="preserve">3.投标人对于工作期间知悉采购人的商业秘密和党政机关保密信息（包括业务信息在内）或工作过程中接触到的政府机关文件（包括内部发文、各类通知及会议记录等）的内容，同样承担保密责任，严禁将政府机关内部会议、谈话内容泄露给无关人员；不得翻阅与工作无关的文件和资料。 </w:t>
      </w:r>
    </w:p>
    <w:p>
      <w:pPr>
        <w:ind w:firstLine="560" w:firstLineChars="200"/>
        <w:rPr>
          <w:rFonts w:hint="eastAsia" w:eastAsia="仿宋_GB2312"/>
          <w:color w:val="auto"/>
          <w:sz w:val="28"/>
          <w:szCs w:val="28"/>
        </w:rPr>
      </w:pPr>
      <w:r>
        <w:rPr>
          <w:rFonts w:hint="eastAsia" w:eastAsia="仿宋_GB2312"/>
          <w:color w:val="auto"/>
          <w:sz w:val="28"/>
          <w:szCs w:val="28"/>
        </w:rPr>
        <w:t xml:space="preserve">4.严禁泄露在工作中接触到的政府机关科技研究、发明、装备器材及其技术资料和政府工作信息。 </w:t>
      </w:r>
    </w:p>
    <w:p>
      <w:pPr>
        <w:pStyle w:val="7"/>
        <w:jc w:val="both"/>
        <w:rPr>
          <w:rFonts w:ascii="Times New Roman" w:hAnsi="Times New Roman"/>
          <w:color w:val="auto"/>
        </w:rPr>
      </w:pPr>
      <w:r>
        <w:rPr>
          <w:rFonts w:ascii="Times New Roman" w:hAnsi="Times New Roman"/>
          <w:color w:val="auto"/>
        </w:rPr>
        <w:t>付款方式</w:t>
      </w:r>
    </w:p>
    <w:p>
      <w:pPr>
        <w:ind w:firstLine="560" w:firstLineChars="200"/>
        <w:jc w:val="left"/>
        <w:rPr>
          <w:rFonts w:hint="eastAsia" w:ascii="仿宋_GB2312" w:hAnsi="仿宋_GB2312" w:eastAsia="仿宋_GB2312" w:cs="仿宋_GB2312"/>
          <w:iCs/>
          <w:color w:val="auto"/>
          <w:sz w:val="28"/>
          <w:szCs w:val="28"/>
        </w:rPr>
      </w:pPr>
      <w:r>
        <w:rPr>
          <w:rFonts w:hint="eastAsia" w:ascii="仿宋_GB2312" w:hAnsi="仿宋_GB2312" w:eastAsia="仿宋_GB2312" w:cs="仿宋_GB2312"/>
          <w:iCs/>
          <w:color w:val="auto"/>
          <w:sz w:val="28"/>
          <w:szCs w:val="28"/>
        </w:rPr>
        <w:t>本项目计划分 2 期支付，具体支付方式和时间如下：</w:t>
      </w:r>
    </w:p>
    <w:p>
      <w:pPr>
        <w:ind w:firstLine="560" w:firstLineChars="200"/>
        <w:jc w:val="left"/>
        <w:rPr>
          <w:rFonts w:hint="eastAsia" w:ascii="仿宋_GB2312" w:hAnsi="仿宋_GB2312" w:eastAsia="仿宋_GB2312" w:cs="仿宋_GB2312"/>
          <w:iCs/>
          <w:color w:val="auto"/>
          <w:sz w:val="28"/>
          <w:szCs w:val="28"/>
        </w:rPr>
      </w:pPr>
      <w:r>
        <w:rPr>
          <w:rFonts w:hint="eastAsia" w:ascii="仿宋_GB2312" w:hAnsi="仿宋_GB2312" w:eastAsia="仿宋_GB2312" w:cs="仿宋_GB2312"/>
          <w:iCs/>
          <w:color w:val="auto"/>
          <w:sz w:val="28"/>
          <w:szCs w:val="28"/>
        </w:rPr>
        <w:t>首期款：签订合同后 15 个工作日内，中标人书面提出支付申请函及拟支付金额等额的符合采购人财务管理要求的相应发票，采购人确认后启动首期款支付流程，约占合同总金额的64%。如财政部门另有规定的，从其规定。</w:t>
      </w:r>
    </w:p>
    <w:p>
      <w:pPr>
        <w:ind w:firstLine="560" w:firstLineChars="200"/>
        <w:jc w:val="left"/>
        <w:rPr>
          <w:rFonts w:hint="eastAsia" w:ascii="仿宋_GB2312" w:hAnsi="仿宋_GB2312" w:eastAsia="仿宋_GB2312" w:cs="仿宋_GB2312"/>
          <w:iCs/>
          <w:color w:val="auto"/>
          <w:sz w:val="28"/>
          <w:szCs w:val="28"/>
        </w:rPr>
      </w:pPr>
      <w:r>
        <w:rPr>
          <w:rFonts w:hint="eastAsia" w:ascii="仿宋_GB2312" w:hAnsi="仿宋_GB2312" w:eastAsia="仿宋_GB2312" w:cs="仿宋_GB2312"/>
          <w:iCs/>
          <w:color w:val="auto"/>
          <w:sz w:val="28"/>
          <w:szCs w:val="28"/>
        </w:rPr>
        <w:t>尾款：项目验收通过后15个工作日内，中标人书面提出支付申请函及拟支付金额等额的符合采购人财务管理要求的相应发票，采购人确认后启动尾款支付流程，约占合同总金额的36%。</w:t>
      </w:r>
    </w:p>
    <w:p>
      <w:pPr>
        <w:pStyle w:val="7"/>
        <w:numPr>
          <w:ilvl w:val="0"/>
          <w:numId w:val="0"/>
        </w:numPr>
        <w:ind w:firstLine="560" w:firstLineChars="200"/>
        <w:jc w:val="both"/>
        <w:outlineLvl w:val="9"/>
        <w:rPr>
          <w:rFonts w:hint="eastAsia" w:ascii="仿宋_GB2312" w:hAnsi="仿宋_GB2312" w:eastAsia="仿宋_GB2312" w:cs="仿宋_GB2312"/>
          <w:iCs/>
          <w:color w:val="auto"/>
          <w:sz w:val="28"/>
          <w:szCs w:val="28"/>
        </w:rPr>
      </w:pPr>
      <w:r>
        <w:rPr>
          <w:rFonts w:hint="eastAsia" w:ascii="仿宋_GB2312" w:hAnsi="仿宋_GB2312" w:eastAsia="仿宋_GB2312" w:cs="仿宋_GB2312"/>
          <w:iCs/>
          <w:color w:val="auto"/>
          <w:sz w:val="28"/>
          <w:szCs w:val="28"/>
        </w:rPr>
        <w:t>项目实际支付总金额按采购成交总金额计算，项目支付计划按合同约定执行，对于满足合同约定支付条件的，采购人应当自收到发票后30日内将资金支付到合同约定的中标人账户，不得以机构变动、人员更替、政策调整等为由延迟付款，不得将采购文件和合同中未规定的义务作为向中标人付款的条件。甲方支付时间以向相关财政部门提出支付申请时间为准。</w:t>
      </w:r>
    </w:p>
    <w:p>
      <w:pPr>
        <w:ind w:firstLine="560" w:firstLineChars="200"/>
        <w:jc w:val="left"/>
        <w:rPr>
          <w:rFonts w:hint="eastAsia" w:eastAsia="仿宋_GB2312"/>
          <w:iCs/>
          <w:color w:val="auto"/>
          <w:sz w:val="28"/>
          <w:szCs w:val="28"/>
        </w:rPr>
      </w:pPr>
      <w:r>
        <w:rPr>
          <w:rFonts w:hint="eastAsia" w:eastAsia="仿宋_GB2312"/>
          <w:iCs/>
          <w:color w:val="auto"/>
          <w:sz w:val="28"/>
          <w:szCs w:val="28"/>
        </w:rPr>
        <w:t>本项目为</w:t>
      </w:r>
      <w:r>
        <w:rPr>
          <w:rFonts w:hint="eastAsia" w:eastAsia="仿宋_GB2312"/>
          <w:iCs/>
          <w:color w:val="auto"/>
          <w:sz w:val="28"/>
          <w:szCs w:val="28"/>
          <w:lang w:val="en-US" w:eastAsia="zh-CN"/>
        </w:rPr>
        <w:t>2024年度</w:t>
      </w:r>
      <w:r>
        <w:rPr>
          <w:rFonts w:hint="eastAsia" w:eastAsia="仿宋_GB2312"/>
          <w:iCs/>
          <w:color w:val="auto"/>
          <w:sz w:val="28"/>
          <w:szCs w:val="28"/>
        </w:rPr>
        <w:t>政务信息化项目，预算分2期安排。如因政府财政部门审查、财政支付管理流程及预算下达导致支付延期，支付期限相应顺延；如因政府财政部门审查、财政支付管理流程及预算下达导致预算核减，支付总金额相应核减至与预算金额下达一致的，采购人不承担违约的不利后果，中标人不得以此为由迟延履行或不履行合同义务。</w:t>
      </w:r>
    </w:p>
    <w:p>
      <w:pPr>
        <w:pStyle w:val="7"/>
        <w:rPr>
          <w:color w:val="auto"/>
        </w:rPr>
      </w:pPr>
      <w:r>
        <w:rPr>
          <w:rFonts w:hint="eastAsia"/>
          <w:color w:val="auto"/>
        </w:rPr>
        <w:t>评审标准</w:t>
      </w:r>
    </w:p>
    <w:p>
      <w:pPr>
        <w:ind w:firstLine="560" w:firstLineChars="200"/>
        <w:jc w:val="left"/>
        <w:rPr>
          <w:rFonts w:hint="eastAsia" w:eastAsia="仿宋_GB2312"/>
          <w:iCs/>
          <w:color w:val="auto"/>
          <w:sz w:val="28"/>
          <w:szCs w:val="28"/>
        </w:rPr>
      </w:pPr>
      <w:r>
        <w:rPr>
          <w:rFonts w:hint="eastAsia" w:eastAsia="仿宋_GB2312"/>
          <w:iCs/>
          <w:color w:val="auto"/>
          <w:sz w:val="28"/>
          <w:szCs w:val="28"/>
        </w:rPr>
        <w:t>本项目供应商评选，采用综合评分法，遵循公平、公正、科学和择优的原则，以项目采购需求文件和供应商响应文件为评审的基本依据。具体评审标准见下表：</w:t>
      </w:r>
    </w:p>
    <w:p>
      <w:pPr>
        <w:ind w:firstLine="560" w:firstLineChars="200"/>
        <w:jc w:val="left"/>
        <w:rPr>
          <w:rFonts w:hint="eastAsia" w:eastAsia="仿宋_GB2312"/>
          <w:iCs/>
          <w:color w:val="auto"/>
          <w:sz w:val="28"/>
          <w:szCs w:val="28"/>
        </w:rPr>
      </w:pPr>
      <w:r>
        <w:rPr>
          <w:rFonts w:hint="eastAsia" w:eastAsia="仿宋_GB2312"/>
          <w:iCs/>
          <w:color w:val="auto"/>
          <w:sz w:val="28"/>
          <w:szCs w:val="28"/>
        </w:rPr>
        <w:t>表一 资格性审查表：</w:t>
      </w:r>
    </w:p>
    <w:tbl>
      <w:tblPr>
        <w:tblStyle w:val="4"/>
        <w:tblW w:w="9099"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05"/>
        <w:gridCol w:w="2211"/>
        <w:gridCol w:w="6083"/>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74"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序号</w:t>
            </w:r>
          </w:p>
        </w:tc>
        <w:tc>
          <w:tcPr>
            <w:tcW w:w="8294" w:type="dxa"/>
            <w:gridSpan w:val="2"/>
            <w:noWrap w:val="0"/>
            <w:vAlign w:val="center"/>
          </w:tcPr>
          <w:p>
            <w:pPr>
              <w:spacing w:line="360" w:lineRule="auto"/>
              <w:jc w:val="center"/>
              <w:rPr>
                <w:rFonts w:hint="eastAsia" w:ascii="宋体" w:hAnsi="宋体" w:cs="宋体"/>
                <w:color w:val="auto"/>
              </w:rPr>
            </w:pPr>
            <w:r>
              <w:rPr>
                <w:rFonts w:hint="eastAsia" w:ascii="宋体" w:hAnsi="宋体" w:cs="宋体"/>
                <w:color w:val="auto"/>
              </w:rPr>
              <w:t>资格审查内容</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2713"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1</w:t>
            </w:r>
          </w:p>
        </w:tc>
        <w:tc>
          <w:tcPr>
            <w:tcW w:w="2211" w:type="dxa"/>
            <w:noWrap w:val="0"/>
            <w:vAlign w:val="center"/>
          </w:tcPr>
          <w:p>
            <w:pPr>
              <w:spacing w:line="400" w:lineRule="exact"/>
              <w:jc w:val="center"/>
              <w:rPr>
                <w:rFonts w:hint="eastAsia" w:ascii="宋体" w:hAnsi="宋体" w:cs="宋体"/>
                <w:color w:val="auto"/>
              </w:rPr>
            </w:pPr>
            <w:r>
              <w:rPr>
                <w:rFonts w:hint="eastAsia" w:ascii="宋体" w:hAnsi="宋体" w:cs="宋体"/>
                <w:color w:val="auto"/>
                <w:szCs w:val="21"/>
              </w:rPr>
              <w:t>具有独立承担民事责任的能力</w:t>
            </w:r>
          </w:p>
        </w:tc>
        <w:tc>
          <w:tcPr>
            <w:tcW w:w="6083" w:type="dxa"/>
            <w:noWrap w:val="0"/>
            <w:vAlign w:val="center"/>
          </w:tcPr>
          <w:p>
            <w:pPr>
              <w:spacing w:line="360" w:lineRule="auto"/>
              <w:rPr>
                <w:rFonts w:hint="eastAsia" w:ascii="宋体" w:hAnsi="宋体" w:cs="宋体"/>
                <w:color w:val="auto"/>
              </w:rPr>
            </w:pPr>
            <w:r>
              <w:rPr>
                <w:rFonts w:hint="eastAsia" w:ascii="宋体" w:hAnsi="宋体" w:cs="宋体"/>
                <w:color w:val="auto"/>
              </w:rPr>
              <w:t>提供在中华人民共和国境内注册的法人或其他组织的营业执照或事业单位法人证书或社会团体法人登记证书复印件，如供应商为自然人的提供自然人身份证明复印件；如国家另有规定的，则从其规定。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14"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2</w:t>
            </w:r>
          </w:p>
        </w:tc>
        <w:tc>
          <w:tcPr>
            <w:tcW w:w="2211" w:type="dxa"/>
            <w:noWrap w:val="0"/>
            <w:vAlign w:val="center"/>
          </w:tcPr>
          <w:p>
            <w:pPr>
              <w:spacing w:line="400" w:lineRule="exact"/>
              <w:jc w:val="center"/>
              <w:rPr>
                <w:rFonts w:hint="eastAsia" w:ascii="宋体" w:hAnsi="宋体" w:cs="宋体"/>
                <w:color w:val="auto"/>
              </w:rPr>
            </w:pPr>
            <w:r>
              <w:rPr>
                <w:rFonts w:hint="eastAsia" w:ascii="宋体" w:hAnsi="宋体" w:cs="宋体"/>
                <w:color w:val="auto"/>
                <w:szCs w:val="21"/>
              </w:rPr>
              <w:t>有依法缴纳税收和社会保障资金的良好记录</w:t>
            </w:r>
          </w:p>
        </w:tc>
        <w:tc>
          <w:tcPr>
            <w:tcW w:w="6083" w:type="dxa"/>
            <w:noWrap w:val="0"/>
            <w:vAlign w:val="center"/>
          </w:tcPr>
          <w:p>
            <w:pPr>
              <w:spacing w:line="360" w:lineRule="auto"/>
              <w:rPr>
                <w:rFonts w:hint="eastAsia" w:ascii="宋体" w:hAnsi="宋体" w:cs="宋体"/>
                <w:color w:val="auto"/>
              </w:rPr>
            </w:pPr>
            <w:r>
              <w:rPr>
                <w:rFonts w:hint="eastAsia" w:ascii="宋体" w:hAnsi="宋体" w:cs="宋体"/>
                <w:color w:val="auto"/>
              </w:rPr>
              <w:t>提供投标截止日前6个月内任意1个月依法缴纳税收和社会保障资金的相关材料。如依法免税或不需要缴纳社会保障资金的，提供相应证明材料。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9"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3</w:t>
            </w:r>
          </w:p>
        </w:tc>
        <w:tc>
          <w:tcPr>
            <w:tcW w:w="2211" w:type="dxa"/>
            <w:noWrap w:val="0"/>
            <w:vAlign w:val="center"/>
          </w:tcPr>
          <w:p>
            <w:pPr>
              <w:spacing w:line="400" w:lineRule="exact"/>
              <w:jc w:val="center"/>
              <w:rPr>
                <w:rFonts w:hint="eastAsia" w:ascii="宋体" w:hAnsi="宋体" w:cs="宋体"/>
                <w:color w:val="auto"/>
              </w:rPr>
            </w:pPr>
            <w:r>
              <w:rPr>
                <w:rFonts w:hint="eastAsia" w:ascii="宋体" w:hAnsi="宋体" w:cs="宋体"/>
                <w:color w:val="auto"/>
                <w:szCs w:val="21"/>
              </w:rPr>
              <w:t>具有良好的商业信誉和健全的财务会计制度</w:t>
            </w:r>
          </w:p>
        </w:tc>
        <w:tc>
          <w:tcPr>
            <w:tcW w:w="6083" w:type="dxa"/>
            <w:noWrap w:val="0"/>
            <w:vAlign w:val="center"/>
          </w:tcPr>
          <w:p>
            <w:pPr>
              <w:spacing w:line="360" w:lineRule="auto"/>
              <w:rPr>
                <w:rFonts w:hint="eastAsia" w:ascii="宋体" w:hAnsi="宋体" w:cs="宋体"/>
                <w:color w:val="auto"/>
              </w:rPr>
            </w:pPr>
            <w:r>
              <w:rPr>
                <w:rFonts w:hint="eastAsia" w:ascii="宋体" w:hAnsi="宋体" w:cs="宋体"/>
                <w:color w:val="auto"/>
              </w:rPr>
              <w:t>提供2022年度财务状况报告或2023年至今任意1个月的财务状况报告复印件，或基本开户行出具的资信证明。</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209"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4</w:t>
            </w:r>
          </w:p>
        </w:tc>
        <w:tc>
          <w:tcPr>
            <w:tcW w:w="2211" w:type="dxa"/>
            <w:noWrap w:val="0"/>
            <w:vAlign w:val="center"/>
          </w:tcPr>
          <w:p>
            <w:pPr>
              <w:spacing w:line="400" w:lineRule="exact"/>
              <w:jc w:val="center"/>
              <w:rPr>
                <w:rFonts w:hint="eastAsia" w:ascii="宋体" w:hAnsi="宋体" w:cs="宋体"/>
                <w:color w:val="auto"/>
              </w:rPr>
            </w:pPr>
            <w:r>
              <w:rPr>
                <w:rFonts w:hint="eastAsia" w:ascii="宋体" w:hAnsi="宋体" w:cs="宋体"/>
                <w:color w:val="auto"/>
                <w:szCs w:val="21"/>
              </w:rPr>
              <w:t>履行合同所必需的设备和专业技术能力</w:t>
            </w:r>
          </w:p>
        </w:tc>
        <w:tc>
          <w:tcPr>
            <w:tcW w:w="6083" w:type="dxa"/>
            <w:noWrap w:val="0"/>
            <w:vAlign w:val="center"/>
          </w:tcPr>
          <w:p>
            <w:pPr>
              <w:spacing w:line="360" w:lineRule="auto"/>
              <w:rPr>
                <w:rFonts w:hint="eastAsia" w:ascii="宋体" w:hAnsi="宋体" w:cs="宋体"/>
                <w:color w:val="auto"/>
              </w:rPr>
            </w:pPr>
            <w:r>
              <w:rPr>
                <w:rFonts w:hint="eastAsia" w:ascii="宋体" w:hAnsi="宋体" w:cs="宋体"/>
                <w:color w:val="auto"/>
              </w:rPr>
              <w:t>提供承诺书（格式自拟）</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14"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5</w:t>
            </w:r>
          </w:p>
        </w:tc>
        <w:tc>
          <w:tcPr>
            <w:tcW w:w="2211"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参加采购活动前3年内，在经营活动中没有重大违法记录</w:t>
            </w:r>
          </w:p>
        </w:tc>
        <w:tc>
          <w:tcPr>
            <w:tcW w:w="6083" w:type="dxa"/>
            <w:noWrap w:val="0"/>
            <w:vAlign w:val="top"/>
          </w:tcPr>
          <w:p>
            <w:pPr>
              <w:spacing w:line="360" w:lineRule="auto"/>
              <w:rPr>
                <w:rFonts w:hint="eastAsia" w:ascii="宋体" w:hAnsi="宋体" w:cs="宋体"/>
                <w:color w:val="auto"/>
              </w:rPr>
            </w:pPr>
            <w:r>
              <w:rPr>
                <w:rFonts w:hint="eastAsia" w:ascii="宋体" w:hAnsi="宋体" w:cs="宋体"/>
                <w:color w:val="auto"/>
              </w:rPr>
              <w:t>提供相关证明材料。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233" w:hRule="atLeast"/>
          <w:jc w:val="center"/>
        </w:trPr>
        <w:tc>
          <w:tcPr>
            <w:tcW w:w="805"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6</w:t>
            </w:r>
          </w:p>
        </w:tc>
        <w:tc>
          <w:tcPr>
            <w:tcW w:w="2211" w:type="dxa"/>
            <w:noWrap w:val="0"/>
            <w:vAlign w:val="center"/>
          </w:tcPr>
          <w:p>
            <w:pPr>
              <w:spacing w:line="360" w:lineRule="auto"/>
              <w:jc w:val="center"/>
              <w:rPr>
                <w:rFonts w:hint="eastAsia" w:ascii="宋体" w:hAnsi="宋体" w:cs="宋体"/>
                <w:color w:val="auto"/>
              </w:rPr>
            </w:pPr>
            <w:r>
              <w:rPr>
                <w:rFonts w:hint="eastAsia" w:ascii="宋体" w:hAnsi="宋体" w:cs="宋体"/>
                <w:color w:val="auto"/>
              </w:rPr>
              <w:t>信用记录</w:t>
            </w:r>
          </w:p>
        </w:tc>
        <w:tc>
          <w:tcPr>
            <w:tcW w:w="6083" w:type="dxa"/>
            <w:noWrap w:val="0"/>
            <w:vAlign w:val="top"/>
          </w:tcPr>
          <w:p>
            <w:pPr>
              <w:spacing w:line="360" w:lineRule="auto"/>
              <w:rPr>
                <w:rFonts w:hint="eastAsia" w:ascii="宋体" w:hAnsi="宋体" w:cs="宋体"/>
                <w:color w:val="auto"/>
              </w:rPr>
            </w:pPr>
            <w:r>
              <w:rPr>
                <w:rFonts w:hint="eastAsia" w:ascii="宋体" w:hAnsi="宋体" w:cs="宋体"/>
                <w:color w:val="auto"/>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供应商需提供相关证明资料）。</w:t>
            </w:r>
          </w:p>
        </w:tc>
      </w:tr>
    </w:tbl>
    <w:p>
      <w:pPr>
        <w:spacing w:line="360" w:lineRule="auto"/>
        <w:ind w:firstLine="480"/>
        <w:rPr>
          <w:rFonts w:ascii="宋体" w:hAnsi="宋体" w:cs="宋体"/>
          <w:color w:val="auto"/>
        </w:rPr>
      </w:pPr>
      <w:r>
        <w:rPr>
          <w:rFonts w:hint="eastAsia" w:ascii="宋体" w:hAnsi="宋体" w:cs="宋体"/>
          <w:color w:val="auto"/>
        </w:rPr>
        <w:t>注：资格性审查未通过的，视为评审不通过。</w:t>
      </w:r>
    </w:p>
    <w:p>
      <w:pPr>
        <w:ind w:firstLine="560" w:firstLineChars="200"/>
        <w:jc w:val="left"/>
        <w:rPr>
          <w:rFonts w:hint="eastAsia" w:eastAsia="仿宋_GB2312"/>
          <w:iCs/>
          <w:color w:val="auto"/>
          <w:sz w:val="28"/>
          <w:szCs w:val="28"/>
        </w:rPr>
      </w:pPr>
      <w:r>
        <w:rPr>
          <w:rFonts w:hint="eastAsia" w:eastAsia="仿宋_GB2312"/>
          <w:iCs/>
          <w:color w:val="auto"/>
          <w:sz w:val="28"/>
          <w:szCs w:val="28"/>
        </w:rPr>
        <w:t>表二 具体评审标准表：</w:t>
      </w:r>
    </w:p>
    <w:tbl>
      <w:tblPr>
        <w:tblStyle w:val="4"/>
        <w:tblW w:w="9071" w:type="dxa"/>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122"/>
        <w:gridCol w:w="1780"/>
        <w:gridCol w:w="6169"/>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407" w:hRule="atLeast"/>
          <w:jc w:val="center"/>
        </w:trPr>
        <w:tc>
          <w:tcPr>
            <w:tcW w:w="1122" w:type="dxa"/>
            <w:noWrap w:val="0"/>
            <w:vAlign w:val="center"/>
          </w:tcPr>
          <w:p>
            <w:pPr>
              <w:spacing w:line="360" w:lineRule="auto"/>
              <w:jc w:val="center"/>
              <w:rPr>
                <w:b/>
                <w:bCs/>
                <w:color w:val="auto"/>
              </w:rPr>
            </w:pPr>
            <w:r>
              <w:rPr>
                <w:b/>
                <w:bCs/>
                <w:color w:val="auto"/>
              </w:rPr>
              <w:t>评审因素</w:t>
            </w:r>
          </w:p>
        </w:tc>
        <w:tc>
          <w:tcPr>
            <w:tcW w:w="7949" w:type="dxa"/>
            <w:gridSpan w:val="2"/>
            <w:noWrap w:val="0"/>
            <w:vAlign w:val="top"/>
          </w:tcPr>
          <w:p>
            <w:pPr>
              <w:spacing w:line="360" w:lineRule="auto"/>
              <w:jc w:val="center"/>
              <w:rPr>
                <w:b/>
                <w:bCs/>
                <w:color w:val="auto"/>
              </w:rPr>
            </w:pPr>
            <w:r>
              <w:rPr>
                <w:b/>
                <w:bCs/>
                <w:color w:val="auto"/>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noWrap w:val="0"/>
            <w:vAlign w:val="center"/>
          </w:tcPr>
          <w:p>
            <w:pPr>
              <w:spacing w:line="360" w:lineRule="auto"/>
              <w:jc w:val="center"/>
              <w:rPr>
                <w:rFonts w:hint="eastAsia"/>
                <w:color w:val="auto"/>
              </w:rPr>
            </w:pPr>
            <w:r>
              <w:rPr>
                <w:color w:val="auto"/>
              </w:rPr>
              <w:t>分值构成</w:t>
            </w:r>
          </w:p>
        </w:tc>
        <w:tc>
          <w:tcPr>
            <w:tcW w:w="7949" w:type="dxa"/>
            <w:gridSpan w:val="2"/>
            <w:noWrap w:val="0"/>
            <w:vAlign w:val="top"/>
          </w:tcPr>
          <w:p>
            <w:pPr>
              <w:spacing w:line="360" w:lineRule="auto"/>
              <w:rPr>
                <w:rFonts w:hint="eastAsia"/>
                <w:color w:val="auto"/>
              </w:rPr>
            </w:pPr>
            <w:r>
              <w:rPr>
                <w:rFonts w:hint="eastAsia"/>
                <w:color w:val="auto"/>
              </w:rPr>
              <w:t>商务部分35.0分</w:t>
            </w:r>
          </w:p>
          <w:p>
            <w:pPr>
              <w:spacing w:line="360" w:lineRule="auto"/>
              <w:rPr>
                <w:rFonts w:hint="eastAsia"/>
                <w:color w:val="auto"/>
              </w:rPr>
            </w:pPr>
            <w:r>
              <w:rPr>
                <w:rFonts w:hint="eastAsia"/>
                <w:color w:val="auto"/>
              </w:rPr>
              <w:t>技术部分55.0分</w:t>
            </w:r>
          </w:p>
          <w:p>
            <w:pPr>
              <w:spacing w:line="360" w:lineRule="auto"/>
              <w:rPr>
                <w:color w:val="auto"/>
              </w:rPr>
            </w:pPr>
            <w:r>
              <w:rPr>
                <w:rFonts w:hint="eastAsia"/>
                <w:color w:val="auto"/>
              </w:rPr>
              <w:t>报价得分10.0分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restart"/>
            <w:noWrap w:val="0"/>
            <w:vAlign w:val="center"/>
          </w:tcPr>
          <w:p>
            <w:pPr>
              <w:spacing w:line="360" w:lineRule="auto"/>
              <w:jc w:val="center"/>
              <w:rPr>
                <w:rFonts w:hint="eastAsia"/>
                <w:color w:val="auto"/>
              </w:rPr>
            </w:pPr>
            <w:r>
              <w:rPr>
                <w:color w:val="auto"/>
              </w:rPr>
              <w:t>技术部分</w:t>
            </w:r>
          </w:p>
        </w:tc>
        <w:tc>
          <w:tcPr>
            <w:tcW w:w="1780" w:type="dxa"/>
            <w:noWrap w:val="0"/>
            <w:vAlign w:val="center"/>
          </w:tcPr>
          <w:p>
            <w:pPr>
              <w:spacing w:line="360" w:lineRule="auto"/>
              <w:jc w:val="center"/>
              <w:rPr>
                <w:rFonts w:hint="eastAsia"/>
                <w:color w:val="auto"/>
              </w:rPr>
            </w:pPr>
            <w:r>
              <w:rPr>
                <w:rFonts w:hint="eastAsia"/>
                <w:color w:val="auto"/>
              </w:rPr>
              <w:t>对项目背景的理解与运营现状的分析（9</w:t>
            </w:r>
            <w:r>
              <w:rPr>
                <w:color w:val="auto"/>
              </w:rPr>
              <w:t>.0分</w:t>
            </w:r>
            <w:r>
              <w:rPr>
                <w:rFonts w:hint="eastAsia"/>
                <w:color w:val="auto"/>
              </w:rPr>
              <w:t>）</w:t>
            </w:r>
          </w:p>
        </w:tc>
        <w:tc>
          <w:tcPr>
            <w:tcW w:w="6169" w:type="dxa"/>
            <w:noWrap w:val="0"/>
            <w:vAlign w:val="top"/>
          </w:tcPr>
          <w:p>
            <w:pPr>
              <w:spacing w:line="360" w:lineRule="auto"/>
              <w:jc w:val="left"/>
              <w:rPr>
                <w:rFonts w:hint="eastAsia"/>
                <w:color w:val="auto"/>
              </w:rPr>
            </w:pPr>
            <w:r>
              <w:rPr>
                <w:rFonts w:hint="eastAsia"/>
                <w:color w:val="auto"/>
              </w:rPr>
              <w:t>根据供应商提供的对项目业务运营背景的理解与运营现状的分析进行评审，内容包括但不限于：①项目业务运营背景的理解；②运营现状的分析。涵盖上述所有内容且对上述各项内容描述全面、详细，得9分；涵盖上述所有内容且对上述各项内容描述较全面、较详细，得6分；涵盖上述所有内容但对上述各项内容描述不够全面、不够具体，得3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3793" w:hRule="atLeas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color w:val="auto"/>
              </w:rPr>
            </w:pPr>
            <w:r>
              <w:rPr>
                <w:rFonts w:hint="eastAsia"/>
                <w:color w:val="auto"/>
              </w:rPr>
              <w:t>项目组织实施方案（10</w:t>
            </w:r>
            <w:r>
              <w:rPr>
                <w:color w:val="auto"/>
              </w:rPr>
              <w:t>.0分</w:t>
            </w:r>
            <w:r>
              <w:rPr>
                <w:rFonts w:hint="eastAsia"/>
                <w:color w:val="auto"/>
              </w:rPr>
              <w:t>）</w:t>
            </w:r>
          </w:p>
        </w:tc>
        <w:tc>
          <w:tcPr>
            <w:tcW w:w="6169" w:type="dxa"/>
            <w:noWrap w:val="0"/>
            <w:vAlign w:val="top"/>
          </w:tcPr>
          <w:p>
            <w:pPr>
              <w:spacing w:line="360" w:lineRule="auto"/>
              <w:jc w:val="left"/>
              <w:rPr>
                <w:color w:val="auto"/>
              </w:rPr>
            </w:pPr>
            <w:r>
              <w:rPr>
                <w:rFonts w:hint="eastAsia"/>
                <w:color w:val="auto"/>
              </w:rPr>
              <w:t>对供应商提供的项目组织实施方案进行评审，内容包括但不限于：①</w:t>
            </w:r>
            <w:r>
              <w:rPr>
                <w:color w:val="auto"/>
              </w:rPr>
              <w:t>内部组织管理方式及人员配置方案</w:t>
            </w:r>
            <w:r>
              <w:rPr>
                <w:rFonts w:hint="eastAsia"/>
                <w:color w:val="auto"/>
              </w:rPr>
              <w:t>；②</w:t>
            </w:r>
            <w:r>
              <w:rPr>
                <w:rFonts w:hint="eastAsia" w:ascii="宋体" w:hAnsi="宋体" w:cs="宋体"/>
                <w:color w:val="auto"/>
              </w:rPr>
              <w:t>进度安排</w:t>
            </w:r>
            <w:r>
              <w:rPr>
                <w:rFonts w:hint="eastAsia"/>
                <w:color w:val="auto"/>
              </w:rPr>
              <w:t>方案；③</w:t>
            </w:r>
            <w:r>
              <w:rPr>
                <w:rFonts w:hint="eastAsia" w:ascii="宋体" w:hAnsi="宋体" w:cs="宋体"/>
                <w:color w:val="auto"/>
              </w:rPr>
              <w:t>成果交付方案。</w:t>
            </w:r>
            <w:r>
              <w:rPr>
                <w:rFonts w:hint="eastAsia"/>
                <w:color w:val="auto"/>
              </w:rPr>
              <w:t>涵盖上述所有内容且对上述各项内容描述全面、详细，可行性高，完全满足且优于项目需求的，得10分；涵盖上述所有内容且对上述各项内容描述较全面、较详细，可行性较高，完全满足项目需求的，得8分；涵盖上述所有内容且对上述各项内容描述基本全面、基本具体，可行性一般，基本满足项目需求的，得5分；涵盖上述所有内容但对上述各项内容描述不够全面、不够具体，可行性低，不能满足项目需求的，得3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rFonts w:hint="eastAsia"/>
                <w:color w:val="auto"/>
              </w:rPr>
            </w:pPr>
            <w:r>
              <w:rPr>
                <w:rFonts w:hint="eastAsia"/>
                <w:color w:val="auto"/>
              </w:rPr>
              <w:t>项目运营服务方案（20</w:t>
            </w:r>
            <w:r>
              <w:rPr>
                <w:color w:val="auto"/>
              </w:rPr>
              <w:t>.0分</w:t>
            </w:r>
            <w:r>
              <w:rPr>
                <w:rFonts w:hint="eastAsia"/>
                <w:color w:val="auto"/>
              </w:rPr>
              <w:t>）</w:t>
            </w:r>
          </w:p>
        </w:tc>
        <w:tc>
          <w:tcPr>
            <w:tcW w:w="6169" w:type="dxa"/>
            <w:noWrap w:val="0"/>
            <w:vAlign w:val="top"/>
          </w:tcPr>
          <w:p>
            <w:pPr>
              <w:spacing w:line="360" w:lineRule="auto"/>
              <w:jc w:val="left"/>
              <w:rPr>
                <w:color w:val="auto"/>
              </w:rPr>
            </w:pPr>
            <w:r>
              <w:rPr>
                <w:rFonts w:hint="eastAsia"/>
                <w:color w:val="auto"/>
              </w:rPr>
              <w:t>对供应商提供的业务管理运营服务方案进行评审，内容包括但不限于：业务管理运营服务、数据处理运营服务、其他运营服务。涵盖上述所有内容且对上述各项内容描述全面、详细，可行性高，完全满足且优于项目需求的，得20分；涵盖上述所有内容且对上述各项内容描述较全面、较详细，可行性较高，完全满足项目需求的，得14分；涵盖上述所有内容且对上述各项内容描述基本全面、基本具体，可行性一般，基本满足项目需求的，得10分；涵盖上述所有内容但对上述各项内容描述不够全面、不够具体，可行性低，不能满足项目需求的，得5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rFonts w:hint="eastAsia"/>
                <w:color w:val="auto"/>
              </w:rPr>
            </w:pPr>
            <w:r>
              <w:rPr>
                <w:rFonts w:hint="eastAsia"/>
                <w:color w:val="auto"/>
              </w:rPr>
              <w:t>服务质量管理方案（8</w:t>
            </w:r>
            <w:r>
              <w:rPr>
                <w:color w:val="auto"/>
              </w:rPr>
              <w:t>.0分</w:t>
            </w:r>
            <w:r>
              <w:rPr>
                <w:rFonts w:hint="eastAsia"/>
                <w:color w:val="auto"/>
              </w:rPr>
              <w:t>）</w:t>
            </w:r>
          </w:p>
        </w:tc>
        <w:tc>
          <w:tcPr>
            <w:tcW w:w="6169" w:type="dxa"/>
            <w:noWrap w:val="0"/>
            <w:vAlign w:val="top"/>
          </w:tcPr>
          <w:p>
            <w:pPr>
              <w:spacing w:line="360" w:lineRule="auto"/>
              <w:jc w:val="left"/>
              <w:rPr>
                <w:color w:val="auto"/>
              </w:rPr>
            </w:pPr>
            <w:r>
              <w:rPr>
                <w:rFonts w:hint="eastAsia"/>
                <w:color w:val="auto"/>
              </w:rPr>
              <w:t>对供应商提供的服务质量管理方案进行评审，内容包括但不限于服务质量保证措施、问题处理计划及整改完善措施等内容。涵盖上述所有内容且对上述各项内容描述全面、详细，可行性高，完全满足且优于项目需求的，得8分；涵盖上述所有内容且对上述各项内容描述较全面、较详细，可行性较高，完全满足项目需求的，得5分；涵盖上述所有内容且对上述各项内容描述基本全面、基本具体，可行性一般，基本满足项目需求的，得3分；涵盖上述所有内容但对上述各项内容描述不够全面、不够具体，可行性低，不能满足项目需求的，得1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rFonts w:hint="eastAsia"/>
                <w:color w:val="auto"/>
              </w:rPr>
            </w:pPr>
            <w:r>
              <w:rPr>
                <w:rFonts w:hint="eastAsia"/>
                <w:color w:val="auto"/>
              </w:rPr>
              <w:t>突发事件快速响应方案及措施</w:t>
            </w:r>
          </w:p>
          <w:p>
            <w:pPr>
              <w:spacing w:line="360" w:lineRule="auto"/>
              <w:jc w:val="center"/>
              <w:rPr>
                <w:color w:val="auto"/>
              </w:rPr>
            </w:pPr>
            <w:r>
              <w:rPr>
                <w:rFonts w:hint="eastAsia"/>
                <w:color w:val="auto"/>
              </w:rPr>
              <w:t>（8</w:t>
            </w:r>
            <w:r>
              <w:rPr>
                <w:color w:val="auto"/>
              </w:rPr>
              <w:t>.0</w:t>
            </w:r>
            <w:r>
              <w:rPr>
                <w:rFonts w:hint="eastAsia"/>
                <w:color w:val="auto"/>
              </w:rPr>
              <w:t>分）</w:t>
            </w:r>
          </w:p>
        </w:tc>
        <w:tc>
          <w:tcPr>
            <w:tcW w:w="6169" w:type="dxa"/>
            <w:noWrap w:val="0"/>
            <w:vAlign w:val="top"/>
          </w:tcPr>
          <w:p>
            <w:pPr>
              <w:spacing w:line="360" w:lineRule="auto"/>
              <w:jc w:val="left"/>
              <w:rPr>
                <w:color w:val="auto"/>
              </w:rPr>
            </w:pPr>
            <w:r>
              <w:rPr>
                <w:rFonts w:hint="eastAsia"/>
                <w:color w:val="auto"/>
              </w:rPr>
              <w:t>对供应商提供的突发事件快速响应方案及措施进行评审，内容包括但不限于：①应急预案；②响应时间及人员调配方案；③处理措施。涵盖上述所有内容且对上述各项内容描述全面、详细，可行性高，完全满足且优于项目需求的，得8分；涵盖上述所有内容且对上述各项内容描述较全面、较详细，可行性较高，完全满足项目需求的，得5分；涵盖上述所有内容且对上述各项内容描述基本全面、基本具体，可行性一般，基本满足项目需求的，得3分；涵盖上述所有内容但对上述各项内容描述不够全面、不够具体，可行性低，不能满足项目需求的，得1分；不提供方案得0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vMerge w:val="restart"/>
            <w:noWrap w:val="0"/>
            <w:vAlign w:val="center"/>
          </w:tcPr>
          <w:p>
            <w:pPr>
              <w:spacing w:line="360" w:lineRule="auto"/>
              <w:jc w:val="center"/>
              <w:rPr>
                <w:color w:val="auto"/>
              </w:rPr>
            </w:pPr>
            <w:r>
              <w:rPr>
                <w:rFonts w:hint="eastAsia"/>
                <w:color w:val="auto"/>
              </w:rPr>
              <w:t>商务部分</w:t>
            </w:r>
          </w:p>
        </w:tc>
        <w:tc>
          <w:tcPr>
            <w:tcW w:w="1780" w:type="dxa"/>
            <w:noWrap w:val="0"/>
            <w:vAlign w:val="center"/>
          </w:tcPr>
          <w:p>
            <w:pPr>
              <w:spacing w:line="360" w:lineRule="auto"/>
              <w:jc w:val="center"/>
              <w:rPr>
                <w:rFonts w:hint="eastAsia"/>
                <w:color w:val="auto"/>
              </w:rPr>
            </w:pPr>
            <w:r>
              <w:rPr>
                <w:rFonts w:hint="eastAsia"/>
                <w:color w:val="auto"/>
              </w:rPr>
              <w:t>单位资质（</w:t>
            </w:r>
            <w:r>
              <w:rPr>
                <w:rFonts w:hint="eastAsia"/>
                <w:color w:val="auto"/>
                <w:lang w:val="en-US" w:eastAsia="zh-CN"/>
              </w:rPr>
              <w:t>9</w:t>
            </w:r>
            <w:r>
              <w:rPr>
                <w:rFonts w:hint="eastAsia"/>
                <w:color w:val="auto"/>
              </w:rPr>
              <w:t>.</w:t>
            </w:r>
            <w:r>
              <w:rPr>
                <w:color w:val="auto"/>
              </w:rPr>
              <w:t>0</w:t>
            </w:r>
            <w:r>
              <w:rPr>
                <w:rFonts w:hint="eastAsia"/>
                <w:color w:val="auto"/>
              </w:rPr>
              <w:t>分）</w:t>
            </w:r>
          </w:p>
        </w:tc>
        <w:tc>
          <w:tcPr>
            <w:tcW w:w="6169" w:type="dxa"/>
            <w:noWrap w:val="0"/>
            <w:vAlign w:val="top"/>
          </w:tcPr>
          <w:p>
            <w:pPr>
              <w:numPr>
                <w:ilvl w:val="0"/>
                <w:numId w:val="3"/>
              </w:numPr>
              <w:spacing w:line="360" w:lineRule="auto"/>
              <w:jc w:val="left"/>
              <w:rPr>
                <w:color w:val="auto"/>
              </w:rPr>
            </w:pPr>
            <w:r>
              <w:rPr>
                <w:rFonts w:hint="eastAsia"/>
                <w:color w:val="auto"/>
              </w:rPr>
              <w:t>具有有效期内的</w:t>
            </w:r>
            <w:r>
              <w:rPr>
                <w:color w:val="auto"/>
              </w:rPr>
              <w:t>质量管理体系认证证书</w:t>
            </w:r>
            <w:r>
              <w:rPr>
                <w:rFonts w:hint="eastAsia"/>
                <w:color w:val="auto"/>
              </w:rPr>
              <w:t>，得</w:t>
            </w:r>
            <w:r>
              <w:rPr>
                <w:rFonts w:hint="eastAsia"/>
                <w:color w:val="auto"/>
                <w:lang w:val="en-US" w:eastAsia="zh-CN"/>
              </w:rPr>
              <w:t>2</w:t>
            </w:r>
            <w:r>
              <w:rPr>
                <w:rFonts w:hint="eastAsia"/>
                <w:color w:val="auto"/>
              </w:rPr>
              <w:t>分</w:t>
            </w:r>
            <w:r>
              <w:rPr>
                <w:color w:val="auto"/>
              </w:rPr>
              <w:t>；</w:t>
            </w:r>
          </w:p>
          <w:p>
            <w:pPr>
              <w:spacing w:line="360" w:lineRule="auto"/>
              <w:jc w:val="left"/>
              <w:rPr>
                <w:rFonts w:hint="eastAsia"/>
                <w:color w:val="auto"/>
              </w:rPr>
            </w:pPr>
            <w:r>
              <w:rPr>
                <w:rFonts w:hint="eastAsia"/>
                <w:color w:val="auto"/>
              </w:rPr>
              <w:t>（</w:t>
            </w:r>
            <w:r>
              <w:rPr>
                <w:color w:val="auto"/>
              </w:rPr>
              <w:t>2</w:t>
            </w:r>
            <w:r>
              <w:rPr>
                <w:rFonts w:hint="eastAsia"/>
                <w:color w:val="auto"/>
              </w:rPr>
              <w:t>）具有有效期内的</w:t>
            </w:r>
            <w:r>
              <w:rPr>
                <w:color w:val="auto"/>
              </w:rPr>
              <w:t>质量管理体系认证证书</w:t>
            </w:r>
            <w:r>
              <w:rPr>
                <w:rFonts w:hint="eastAsia"/>
                <w:color w:val="auto"/>
                <w:lang w:val="en-US" w:eastAsia="zh-CN"/>
              </w:rPr>
              <w:t>.</w:t>
            </w:r>
            <w:r>
              <w:rPr>
                <w:rFonts w:hint="eastAsia"/>
                <w:color w:val="auto"/>
              </w:rPr>
              <w:t>得</w:t>
            </w:r>
            <w:r>
              <w:rPr>
                <w:rFonts w:hint="eastAsia"/>
                <w:color w:val="auto"/>
                <w:lang w:val="en-US" w:eastAsia="zh-CN"/>
              </w:rPr>
              <w:t>2</w:t>
            </w:r>
            <w:r>
              <w:rPr>
                <w:rFonts w:hint="eastAsia"/>
                <w:color w:val="auto"/>
              </w:rPr>
              <w:t>分</w:t>
            </w:r>
            <w:r>
              <w:rPr>
                <w:color w:val="auto"/>
              </w:rPr>
              <w:t>；</w:t>
            </w:r>
          </w:p>
          <w:p>
            <w:pPr>
              <w:adjustRightInd w:val="0"/>
              <w:snapToGrid w:val="0"/>
              <w:spacing w:line="360" w:lineRule="auto"/>
              <w:jc w:val="left"/>
              <w:rPr>
                <w:color w:val="auto"/>
              </w:rPr>
            </w:pPr>
            <w:r>
              <w:rPr>
                <w:rFonts w:hint="eastAsia" w:ascii="宋体" w:hAnsi="宋体"/>
                <w:color w:val="auto"/>
                <w:szCs w:val="21"/>
              </w:rPr>
              <w:t>（</w:t>
            </w:r>
            <w:r>
              <w:rPr>
                <w:rFonts w:ascii="宋体" w:hAnsi="宋体"/>
                <w:color w:val="auto"/>
                <w:szCs w:val="21"/>
              </w:rPr>
              <w:t>3</w:t>
            </w:r>
            <w:r>
              <w:rPr>
                <w:rFonts w:hint="eastAsia" w:ascii="宋体" w:hAnsi="宋体"/>
                <w:color w:val="auto"/>
                <w:szCs w:val="21"/>
              </w:rPr>
              <w:t>）具有国家版权局颁发的信息系统管理、数据处理、电子政务相关的计算机软件著作权登记证书，每一个软件著作权得1分，最高得</w:t>
            </w:r>
            <w:r>
              <w:rPr>
                <w:rFonts w:hint="eastAsia" w:ascii="宋体" w:hAnsi="宋体"/>
                <w:color w:val="auto"/>
                <w:szCs w:val="21"/>
                <w:lang w:val="en-US" w:eastAsia="zh-CN"/>
              </w:rPr>
              <w:t>5</w:t>
            </w:r>
            <w:r>
              <w:rPr>
                <w:rFonts w:hint="eastAsia" w:ascii="宋体" w:hAnsi="宋体"/>
                <w:color w:val="auto"/>
                <w:szCs w:val="21"/>
              </w:rPr>
              <w:t>分，无不得分。</w:t>
            </w:r>
          </w:p>
          <w:p>
            <w:pPr>
              <w:spacing w:line="360" w:lineRule="auto"/>
              <w:jc w:val="left"/>
              <w:rPr>
                <w:rFonts w:hint="eastAsia"/>
                <w:color w:val="auto"/>
              </w:rPr>
            </w:pPr>
            <w:r>
              <w:rPr>
                <w:rFonts w:hint="eastAsia" w:ascii="宋体" w:hAnsi="宋体"/>
                <w:color w:val="auto"/>
                <w:szCs w:val="21"/>
              </w:rPr>
              <w:t>【注:需提供相关证书复印件并加盖公章作为证明材料】</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2243" w:hRule="atLeas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color w:val="auto"/>
              </w:rPr>
            </w:pPr>
            <w:r>
              <w:rPr>
                <w:color w:val="auto"/>
              </w:rPr>
              <w:t>同类业绩</w:t>
            </w:r>
          </w:p>
          <w:p>
            <w:pPr>
              <w:spacing w:line="360" w:lineRule="auto"/>
              <w:jc w:val="center"/>
              <w:rPr>
                <w:color w:val="auto"/>
              </w:rPr>
            </w:pPr>
            <w:r>
              <w:rPr>
                <w:rFonts w:hint="eastAsia"/>
                <w:color w:val="auto"/>
              </w:rPr>
              <w:t>（10</w:t>
            </w:r>
            <w:r>
              <w:rPr>
                <w:color w:val="auto"/>
              </w:rPr>
              <w:t>.0分</w:t>
            </w:r>
            <w:r>
              <w:rPr>
                <w:rFonts w:hint="eastAsia"/>
                <w:color w:val="auto"/>
              </w:rPr>
              <w:t>）</w:t>
            </w:r>
          </w:p>
        </w:tc>
        <w:tc>
          <w:tcPr>
            <w:tcW w:w="6169" w:type="dxa"/>
            <w:noWrap w:val="0"/>
            <w:vAlign w:val="top"/>
          </w:tcPr>
          <w:p>
            <w:pPr>
              <w:spacing w:line="360" w:lineRule="auto"/>
              <w:jc w:val="left"/>
              <w:rPr>
                <w:rFonts w:hint="eastAsia"/>
                <w:color w:val="auto"/>
              </w:rPr>
            </w:pPr>
            <w:r>
              <w:rPr>
                <w:rFonts w:hint="eastAsia"/>
                <w:color w:val="auto"/>
              </w:rPr>
              <w:t>供应商自2020年1月1日至今（以业绩合同签订时间为准）承接过同类项目（系统业务运营类项目）业绩：每提供一项业绩得2分，最高得10分。</w:t>
            </w:r>
          </w:p>
          <w:p>
            <w:pPr>
              <w:spacing w:line="360" w:lineRule="auto"/>
              <w:jc w:val="left"/>
              <w:rPr>
                <w:rFonts w:hint="eastAsia"/>
                <w:color w:val="auto"/>
              </w:rPr>
            </w:pPr>
            <w:r>
              <w:rPr>
                <w:rFonts w:hint="eastAsia"/>
                <w:color w:val="auto"/>
              </w:rPr>
              <w:t>【注：须提供合同关键页（含签订合同双方的单位名称、合同项目名称、合同关键内容页、落款盖章页等）复印件，否则不得分。】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trHeight w:val="2243" w:hRule="atLeast"/>
          <w:jc w:val="center"/>
        </w:trPr>
        <w:tc>
          <w:tcPr>
            <w:tcW w:w="1122" w:type="dxa"/>
            <w:vMerge w:val="continue"/>
            <w:noWrap w:val="0"/>
            <w:vAlign w:val="center"/>
          </w:tcPr>
          <w:p>
            <w:pPr>
              <w:spacing w:line="360" w:lineRule="auto"/>
              <w:jc w:val="center"/>
              <w:rPr>
                <w:rFonts w:hint="eastAsia"/>
                <w:color w:val="auto"/>
              </w:rPr>
            </w:pPr>
          </w:p>
        </w:tc>
        <w:tc>
          <w:tcPr>
            <w:tcW w:w="1780" w:type="dxa"/>
            <w:noWrap w:val="0"/>
            <w:vAlign w:val="center"/>
          </w:tcPr>
          <w:p>
            <w:pPr>
              <w:spacing w:line="360" w:lineRule="auto"/>
              <w:jc w:val="center"/>
              <w:rPr>
                <w:rFonts w:hint="eastAsia"/>
                <w:color w:val="auto"/>
              </w:rPr>
            </w:pPr>
            <w:r>
              <w:rPr>
                <w:rFonts w:hint="eastAsia"/>
                <w:color w:val="auto"/>
              </w:rPr>
              <w:t>项目团队（1</w:t>
            </w:r>
            <w:r>
              <w:rPr>
                <w:color w:val="auto"/>
              </w:rPr>
              <w:t>6分</w:t>
            </w:r>
            <w:r>
              <w:rPr>
                <w:rFonts w:hint="eastAsia"/>
                <w:color w:val="auto"/>
              </w:rPr>
              <w:t>）</w:t>
            </w:r>
          </w:p>
        </w:tc>
        <w:tc>
          <w:tcPr>
            <w:tcW w:w="6169" w:type="dxa"/>
            <w:noWrap w:val="0"/>
            <w:vAlign w:val="top"/>
          </w:tcPr>
          <w:p>
            <w:pPr>
              <w:spacing w:line="360" w:lineRule="auto"/>
              <w:jc w:val="left"/>
              <w:rPr>
                <w:rFonts w:hint="eastAsia"/>
                <w:color w:val="auto"/>
              </w:rPr>
            </w:pPr>
            <w:r>
              <w:rPr>
                <w:rFonts w:hint="eastAsia"/>
                <w:color w:val="auto"/>
              </w:rPr>
              <w:t>（1）项目经理，具有本科以上学历，具有信息技术类高级职称证书，或具备</w:t>
            </w:r>
            <w:r>
              <w:rPr>
                <w:rFonts w:hint="eastAsia"/>
                <w:color w:val="auto"/>
                <w:lang w:val="en-US" w:eastAsia="zh-CN"/>
              </w:rPr>
              <w:t>10</w:t>
            </w:r>
            <w:r>
              <w:rPr>
                <w:rFonts w:hint="eastAsia"/>
                <w:color w:val="auto"/>
              </w:rPr>
              <w:t>年及以上与本项目服务内容相关的工作经验和管理经验，得</w:t>
            </w:r>
            <w:r>
              <w:rPr>
                <w:rFonts w:hint="eastAsia"/>
                <w:color w:val="auto"/>
                <w:lang w:val="en-US" w:eastAsia="zh-CN"/>
              </w:rPr>
              <w:t>6</w:t>
            </w:r>
            <w:r>
              <w:rPr>
                <w:rFonts w:hint="eastAsia"/>
                <w:color w:val="auto"/>
              </w:rPr>
              <w:t>分；具备</w:t>
            </w:r>
            <w:r>
              <w:rPr>
                <w:rFonts w:hint="eastAsia"/>
                <w:color w:val="auto"/>
                <w:lang w:val="en-US" w:eastAsia="zh-CN"/>
              </w:rPr>
              <w:t>7</w:t>
            </w:r>
            <w:r>
              <w:rPr>
                <w:rFonts w:hint="eastAsia"/>
                <w:color w:val="auto"/>
              </w:rPr>
              <w:t>年~</w:t>
            </w:r>
            <w:r>
              <w:rPr>
                <w:rFonts w:hint="eastAsia"/>
                <w:color w:val="auto"/>
                <w:lang w:val="en-US" w:eastAsia="zh-CN"/>
              </w:rPr>
              <w:t>9</w:t>
            </w:r>
            <w:r>
              <w:rPr>
                <w:rFonts w:hint="eastAsia"/>
                <w:color w:val="auto"/>
              </w:rPr>
              <w:t>年与本项目服务内容相关的工作经验和管理经验，得</w:t>
            </w:r>
            <w:r>
              <w:rPr>
                <w:rFonts w:hint="eastAsia"/>
                <w:color w:val="auto"/>
                <w:lang w:val="en-US" w:eastAsia="zh-CN"/>
              </w:rPr>
              <w:t>4</w:t>
            </w:r>
            <w:r>
              <w:rPr>
                <w:rFonts w:hint="eastAsia"/>
                <w:color w:val="auto"/>
              </w:rPr>
              <w:t>分；具备</w:t>
            </w:r>
            <w:r>
              <w:rPr>
                <w:rFonts w:hint="eastAsia"/>
                <w:color w:val="auto"/>
                <w:lang w:val="en-US" w:eastAsia="zh-CN"/>
              </w:rPr>
              <w:t>5</w:t>
            </w:r>
            <w:r>
              <w:rPr>
                <w:rFonts w:hint="eastAsia"/>
                <w:color w:val="auto"/>
              </w:rPr>
              <w:t>年~</w:t>
            </w:r>
            <w:r>
              <w:rPr>
                <w:rFonts w:hint="eastAsia"/>
                <w:color w:val="auto"/>
                <w:lang w:val="en-US" w:eastAsia="zh-CN"/>
              </w:rPr>
              <w:t>6</w:t>
            </w:r>
            <w:r>
              <w:rPr>
                <w:rFonts w:hint="eastAsia"/>
                <w:color w:val="auto"/>
              </w:rPr>
              <w:t>年与本项目服务内容相关的工作经验和管理经验，得</w:t>
            </w:r>
            <w:r>
              <w:rPr>
                <w:rFonts w:hint="eastAsia"/>
                <w:color w:val="auto"/>
                <w:lang w:val="en-US" w:eastAsia="zh-CN"/>
              </w:rPr>
              <w:t>3</w:t>
            </w:r>
            <w:r>
              <w:rPr>
                <w:rFonts w:hint="eastAsia"/>
                <w:color w:val="auto"/>
              </w:rPr>
              <w:t>分；</w:t>
            </w:r>
            <w:r>
              <w:rPr>
                <w:rFonts w:hint="eastAsia"/>
                <w:color w:val="auto"/>
                <w:lang w:val="en-US" w:eastAsia="zh-CN"/>
              </w:rPr>
              <w:t>本小项最高得分6分</w:t>
            </w:r>
            <w:r>
              <w:rPr>
                <w:rFonts w:hint="eastAsia"/>
                <w:color w:val="auto"/>
              </w:rPr>
              <w:t>。</w:t>
            </w:r>
          </w:p>
          <w:p>
            <w:pPr>
              <w:spacing w:line="360" w:lineRule="auto"/>
              <w:jc w:val="left"/>
              <w:rPr>
                <w:rFonts w:hint="default" w:eastAsia="宋体"/>
                <w:color w:val="auto"/>
                <w:lang w:val="en-US" w:eastAsia="zh-CN"/>
              </w:rPr>
            </w:pPr>
            <w:r>
              <w:rPr>
                <w:rFonts w:hint="eastAsia"/>
                <w:color w:val="auto"/>
              </w:rPr>
              <w:t>（2）项目成员，具有相关信息技术类中级或以上技术职称，或具备</w:t>
            </w:r>
            <w:r>
              <w:rPr>
                <w:rFonts w:hint="default"/>
                <w:color w:val="auto"/>
              </w:rPr>
              <w:t>5</w:t>
            </w:r>
            <w:r>
              <w:rPr>
                <w:rFonts w:hint="eastAsia"/>
                <w:color w:val="auto"/>
              </w:rPr>
              <w:t>年及以上与本项目服务内容相关的工作经验和管理经验，每提供一人得2分，最高得10分；具备</w:t>
            </w:r>
            <w:r>
              <w:rPr>
                <w:rFonts w:hint="default"/>
                <w:color w:val="auto"/>
              </w:rPr>
              <w:t>3</w:t>
            </w:r>
            <w:r>
              <w:rPr>
                <w:rFonts w:hint="eastAsia"/>
                <w:color w:val="auto"/>
              </w:rPr>
              <w:t>年~</w:t>
            </w:r>
            <w:r>
              <w:rPr>
                <w:rFonts w:hint="default"/>
                <w:color w:val="auto"/>
              </w:rPr>
              <w:t>4</w:t>
            </w:r>
            <w:r>
              <w:rPr>
                <w:rFonts w:hint="eastAsia"/>
                <w:color w:val="auto"/>
              </w:rPr>
              <w:t>年与本项目服务内容相关的工作经验和管理经验，每提供一人得1</w:t>
            </w:r>
            <w:r>
              <w:rPr>
                <w:rFonts w:hint="eastAsia"/>
                <w:color w:val="auto"/>
                <w:lang w:val="en-US" w:eastAsia="zh-CN"/>
              </w:rPr>
              <w:t>.5</w:t>
            </w:r>
            <w:r>
              <w:rPr>
                <w:rFonts w:hint="eastAsia"/>
                <w:color w:val="auto"/>
              </w:rPr>
              <w:t>分，最高得</w:t>
            </w:r>
            <w:r>
              <w:rPr>
                <w:rFonts w:hint="eastAsia"/>
                <w:color w:val="auto"/>
                <w:lang w:val="en-US" w:eastAsia="zh-CN"/>
              </w:rPr>
              <w:t>9</w:t>
            </w:r>
            <w:r>
              <w:rPr>
                <w:rFonts w:hint="eastAsia"/>
                <w:color w:val="auto"/>
              </w:rPr>
              <w:t>分；具备</w:t>
            </w:r>
            <w:r>
              <w:rPr>
                <w:rFonts w:hint="default"/>
                <w:color w:val="auto"/>
              </w:rPr>
              <w:t>1</w:t>
            </w:r>
            <w:r>
              <w:rPr>
                <w:rFonts w:hint="eastAsia"/>
                <w:color w:val="auto"/>
              </w:rPr>
              <w:t>年~</w:t>
            </w:r>
            <w:r>
              <w:rPr>
                <w:rFonts w:hint="default"/>
                <w:color w:val="auto"/>
              </w:rPr>
              <w:t>2</w:t>
            </w:r>
            <w:r>
              <w:rPr>
                <w:rFonts w:hint="eastAsia"/>
                <w:color w:val="auto"/>
              </w:rPr>
              <w:t>年与本项目服务内容相关的工作经验和管理经验，每提供一人得1分，最高得</w:t>
            </w:r>
            <w:r>
              <w:rPr>
                <w:rFonts w:hint="eastAsia"/>
                <w:color w:val="auto"/>
                <w:lang w:val="en-US" w:eastAsia="zh-CN"/>
              </w:rPr>
              <w:t>8</w:t>
            </w:r>
            <w:r>
              <w:rPr>
                <w:rFonts w:hint="eastAsia"/>
                <w:color w:val="auto"/>
              </w:rPr>
              <w:t>分。</w:t>
            </w:r>
            <w:r>
              <w:rPr>
                <w:rFonts w:hint="eastAsia"/>
                <w:color w:val="auto"/>
                <w:lang w:val="en-US" w:eastAsia="zh-CN"/>
              </w:rPr>
              <w:t>本小项最高得分10分。</w:t>
            </w:r>
          </w:p>
          <w:p>
            <w:pPr>
              <w:spacing w:line="360" w:lineRule="auto"/>
              <w:jc w:val="left"/>
              <w:rPr>
                <w:rFonts w:hint="eastAsia"/>
                <w:color w:val="auto"/>
              </w:rPr>
            </w:pPr>
            <w:r>
              <w:rPr>
                <w:rFonts w:hint="eastAsia"/>
                <w:color w:val="auto"/>
                <w:highlight w:val="none"/>
                <w:lang w:eastAsia="zh-CN"/>
              </w:rPr>
              <w:t>【</w:t>
            </w:r>
            <w:r>
              <w:rPr>
                <w:rFonts w:hint="eastAsia"/>
                <w:color w:val="auto"/>
                <w:highlight w:val="none"/>
              </w:rPr>
              <w:t>注：</w:t>
            </w:r>
            <w:r>
              <w:rPr>
                <w:rFonts w:hint="eastAsia"/>
                <w:color w:val="auto"/>
                <w:highlight w:val="none"/>
                <w:lang w:val="en-US" w:eastAsia="zh-CN"/>
              </w:rPr>
              <w:t>①</w:t>
            </w:r>
            <w:r>
              <w:rPr>
                <w:rFonts w:hint="eastAsia"/>
                <w:color w:val="auto"/>
                <w:highlight w:val="none"/>
              </w:rPr>
              <w:t>提供人员的</w:t>
            </w:r>
            <w:r>
              <w:rPr>
                <w:rFonts w:hint="eastAsia"/>
                <w:color w:val="auto"/>
                <w:highlight w:val="none"/>
                <w:lang w:val="en-US" w:eastAsia="zh-CN"/>
              </w:rPr>
              <w:t>相关职称</w:t>
            </w:r>
            <w:r>
              <w:rPr>
                <w:rFonts w:hint="eastAsia"/>
                <w:color w:val="auto"/>
                <w:highlight w:val="none"/>
              </w:rPr>
              <w:t>证书复印件</w:t>
            </w:r>
            <w:r>
              <w:rPr>
                <w:rFonts w:hint="eastAsia"/>
                <w:color w:val="auto"/>
                <w:highlight w:val="none"/>
                <w:lang w:eastAsia="zh-CN"/>
              </w:rPr>
              <w:t>；</w:t>
            </w:r>
            <w:r>
              <w:rPr>
                <w:rFonts w:hint="eastAsia"/>
                <w:color w:val="auto"/>
                <w:highlight w:val="none"/>
                <w:lang w:val="en-US" w:eastAsia="zh-CN"/>
              </w:rPr>
              <w:t>②或</w:t>
            </w:r>
            <w:r>
              <w:rPr>
                <w:rFonts w:hint="eastAsia"/>
                <w:color w:val="auto"/>
                <w:highlight w:val="none"/>
              </w:rPr>
              <w:t>提供人员</w:t>
            </w:r>
            <w:r>
              <w:rPr>
                <w:rFonts w:hint="eastAsia"/>
                <w:color w:val="auto"/>
                <w:highlight w:val="none"/>
                <w:lang w:val="en-US" w:eastAsia="zh-CN"/>
              </w:rPr>
              <w:t>相关</w:t>
            </w:r>
            <w:r>
              <w:rPr>
                <w:rFonts w:hint="eastAsia"/>
                <w:color w:val="auto"/>
              </w:rPr>
              <w:t>的工作经验</w:t>
            </w:r>
            <w:r>
              <w:rPr>
                <w:rFonts w:hint="eastAsia"/>
                <w:color w:val="auto"/>
                <w:highlight w:val="none"/>
                <w:lang w:val="en-US" w:eastAsia="zh-CN"/>
              </w:rPr>
              <w:t>和项目管理经验，经验证明须提供人员履历表（含与</w:t>
            </w:r>
            <w:r>
              <w:rPr>
                <w:rFonts w:hint="eastAsia"/>
                <w:color w:val="auto"/>
              </w:rPr>
              <w:t>本项目服务内容相关</w:t>
            </w:r>
            <w:r>
              <w:rPr>
                <w:rFonts w:hint="eastAsia"/>
                <w:color w:val="auto"/>
                <w:lang w:val="en-US" w:eastAsia="zh-CN"/>
              </w:rPr>
              <w:t>工作</w:t>
            </w:r>
            <w:r>
              <w:rPr>
                <w:rFonts w:hint="eastAsia"/>
                <w:color w:val="auto"/>
                <w:highlight w:val="none"/>
                <w:lang w:val="en-US" w:eastAsia="zh-CN"/>
              </w:rPr>
              <w:t>经验和项目管理经验信息），同时须提供满足工作经验年限要求的缴纳社保证明文件，不同企业的工作经验年限可累计</w:t>
            </w:r>
            <w:r>
              <w:rPr>
                <w:rFonts w:hint="eastAsia"/>
                <w:color w:val="auto"/>
                <w:highlight w:val="none"/>
                <w:lang w:eastAsia="zh-CN"/>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cantSplit/>
          <w:jc w:val="center"/>
        </w:trPr>
        <w:tc>
          <w:tcPr>
            <w:tcW w:w="1122" w:type="dxa"/>
            <w:noWrap w:val="0"/>
            <w:vAlign w:val="center"/>
          </w:tcPr>
          <w:p>
            <w:pPr>
              <w:spacing w:line="360" w:lineRule="auto"/>
              <w:jc w:val="center"/>
              <w:rPr>
                <w:color w:val="auto"/>
              </w:rPr>
            </w:pPr>
            <w:r>
              <w:rPr>
                <w:color w:val="auto"/>
              </w:rPr>
              <w:t>投标报价</w:t>
            </w:r>
          </w:p>
        </w:tc>
        <w:tc>
          <w:tcPr>
            <w:tcW w:w="1780" w:type="dxa"/>
            <w:noWrap w:val="0"/>
            <w:vAlign w:val="center"/>
          </w:tcPr>
          <w:p>
            <w:pPr>
              <w:spacing w:line="360" w:lineRule="auto"/>
              <w:jc w:val="center"/>
              <w:rPr>
                <w:rFonts w:hint="eastAsia"/>
                <w:color w:val="auto"/>
              </w:rPr>
            </w:pPr>
            <w:r>
              <w:rPr>
                <w:color w:val="auto"/>
              </w:rPr>
              <w:t>投标报价得分</w:t>
            </w:r>
            <w:r>
              <w:rPr>
                <w:rFonts w:hint="eastAsia"/>
                <w:color w:val="auto"/>
              </w:rPr>
              <w:t>（1</w:t>
            </w:r>
            <w:r>
              <w:rPr>
                <w:color w:val="auto"/>
              </w:rPr>
              <w:t>0.0分</w:t>
            </w:r>
            <w:r>
              <w:rPr>
                <w:rFonts w:hint="eastAsia"/>
                <w:color w:val="auto"/>
              </w:rPr>
              <w:t>）</w:t>
            </w:r>
          </w:p>
        </w:tc>
        <w:tc>
          <w:tcPr>
            <w:tcW w:w="6169" w:type="dxa"/>
            <w:noWrap w:val="0"/>
            <w:vAlign w:val="top"/>
          </w:tcPr>
          <w:p>
            <w:pPr>
              <w:spacing w:line="360" w:lineRule="auto"/>
              <w:jc w:val="left"/>
              <w:rPr>
                <w:color w:val="auto"/>
              </w:rPr>
            </w:pPr>
            <w:r>
              <w:rPr>
                <w:color w:val="auto"/>
              </w:rPr>
              <w:t>价格得分＝（评标基准价/评标价）×价格分值（注：满足采购文件要求且评标价最低的为评标基准价。）</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10601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544B4D"/>
    <w:multiLevelType w:val="multilevel"/>
    <w:tmpl w:val="04544B4D"/>
    <w:lvl w:ilvl="0" w:tentative="0">
      <w:start w:val="1"/>
      <w:numFmt w:val="decimal"/>
      <w:pStyle w:val="7"/>
      <w:lvlText w:val="%1."/>
      <w:lvlJc w:val="left"/>
      <w:pPr>
        <w:ind w:left="425" w:hanging="425"/>
      </w:pPr>
      <w:rPr>
        <w:rFonts w:hint="default" w:ascii="Times New Roman" w:hAnsi="Times New Roman" w:cs="Times New Roman"/>
      </w:rPr>
    </w:lvl>
    <w:lvl w:ilvl="1" w:tentative="0">
      <w:start w:val="1"/>
      <w:numFmt w:val="decimal"/>
      <w:pStyle w:val="8"/>
      <w:lvlText w:val="%1.%2."/>
      <w:lvlJc w:val="left"/>
      <w:pPr>
        <w:ind w:left="567" w:hanging="567"/>
      </w:pPr>
      <w:rPr>
        <w:rFonts w:hint="default" w:ascii="Times New Roman" w:hAnsi="Times New Roman" w:cs="Times New Roman"/>
      </w:rPr>
    </w:lvl>
    <w:lvl w:ilvl="2" w:tentative="0">
      <w:start w:val="1"/>
      <w:numFmt w:val="decimal"/>
      <w:pStyle w:val="9"/>
      <w:lvlText w:val="%1.%2.%3."/>
      <w:lvlJc w:val="left"/>
      <w:pPr>
        <w:ind w:left="709" w:hanging="709"/>
      </w:pPr>
      <w:rPr>
        <w:rFonts w:hint="default" w:ascii="Times New Roman" w:hAnsi="Times New Roman" w:cs="Times New Roman"/>
        <w:b w:val="0"/>
        <w:bCs/>
      </w:rPr>
    </w:lvl>
    <w:lvl w:ilvl="3" w:tentative="0">
      <w:start w:val="1"/>
      <w:numFmt w:val="decimal"/>
      <w:pStyle w:val="10"/>
      <w:lvlText w:val="%1.%2.%3.%4."/>
      <w:lvlJc w:val="left"/>
      <w:pPr>
        <w:ind w:left="851" w:hanging="851"/>
      </w:pPr>
      <w:rPr>
        <w:rFonts w:hint="eastAsia"/>
        <w:b w:val="0"/>
        <w:bCs/>
      </w:rPr>
    </w:lvl>
    <w:lvl w:ilvl="4" w:tentative="0">
      <w:start w:val="1"/>
      <w:numFmt w:val="decimal"/>
      <w:pStyle w:val="11"/>
      <w:lvlText w:val="%1.%2.%3.%4.%5."/>
      <w:lvlJc w:val="left"/>
      <w:pPr>
        <w:ind w:left="992" w:hanging="992"/>
      </w:pPr>
      <w:rPr>
        <w:rFonts w:hint="eastAsia"/>
        <w:b w:val="0"/>
        <w:bCs/>
      </w:rPr>
    </w:lvl>
    <w:lvl w:ilvl="5" w:tentative="0">
      <w:start w:val="1"/>
      <w:numFmt w:val="decimal"/>
      <w:pStyle w:val="12"/>
      <w:lvlText w:val="%1.%2.%3.%4.%5.%6."/>
      <w:lvlJc w:val="left"/>
      <w:pPr>
        <w:ind w:left="1134" w:hanging="1134"/>
      </w:pPr>
      <w:rPr>
        <w:rFonts w:hint="eastAsia"/>
        <w:b w:val="0"/>
        <w:bCs/>
      </w:rPr>
    </w:lvl>
    <w:lvl w:ilvl="6" w:tentative="0">
      <w:start w:val="1"/>
      <w:numFmt w:val="decimal"/>
      <w:pStyle w:val="13"/>
      <w:lvlText w:val="%1.%2.%3.%4.%5.%6.%7."/>
      <w:lvlJc w:val="left"/>
      <w:pPr>
        <w:ind w:left="1276" w:hanging="1276"/>
      </w:pPr>
      <w:rPr>
        <w:rFonts w:hint="eastAsia"/>
        <w:b w:val="0"/>
        <w:bCs/>
      </w:rPr>
    </w:lvl>
    <w:lvl w:ilvl="7" w:tentative="0">
      <w:start w:val="1"/>
      <w:numFmt w:val="decimal"/>
      <w:lvlText w:val="%1.%2.%3.%4.%5.%6.%7.%8."/>
      <w:lvlJc w:val="left"/>
      <w:pPr>
        <w:ind w:left="1418" w:hanging="1418"/>
      </w:pPr>
      <w:rPr>
        <w:rFonts w:hint="eastAsia"/>
        <w:b w:val="0"/>
        <w:bCs/>
      </w:rPr>
    </w:lvl>
    <w:lvl w:ilvl="8" w:tentative="0">
      <w:start w:val="1"/>
      <w:numFmt w:val="decimal"/>
      <w:lvlText w:val="%1.%2.%3.%4.%5.%6.%7.%8.%9."/>
      <w:lvlJc w:val="left"/>
      <w:pPr>
        <w:ind w:left="1559" w:hanging="1559"/>
      </w:pPr>
      <w:rPr>
        <w:rFonts w:hint="eastAsia"/>
      </w:rPr>
    </w:lvl>
  </w:abstractNum>
  <w:abstractNum w:abstractNumId="1">
    <w:nsid w:val="2A6C3058"/>
    <w:multiLevelType w:val="multilevel"/>
    <w:tmpl w:val="2A6C3058"/>
    <w:lvl w:ilvl="0" w:tentative="0">
      <w:start w:val="1"/>
      <w:numFmt w:val="bullet"/>
      <w:lvlText w:val=""/>
      <w:lvlJc w:val="left"/>
      <w:pPr>
        <w:ind w:left="1000" w:hanging="440"/>
      </w:pPr>
      <w:rPr>
        <w:rFonts w:hint="default" w:ascii="Wingdings" w:hAnsi="Wingdings"/>
      </w:rPr>
    </w:lvl>
    <w:lvl w:ilvl="1" w:tentative="0">
      <w:start w:val="1"/>
      <w:numFmt w:val="bullet"/>
      <w:lvlText w:val=""/>
      <w:lvlJc w:val="left"/>
      <w:pPr>
        <w:ind w:left="1440" w:hanging="440"/>
      </w:pPr>
      <w:rPr>
        <w:rFonts w:hint="default" w:ascii="Wingdings" w:hAnsi="Wingdings"/>
      </w:rPr>
    </w:lvl>
    <w:lvl w:ilvl="2" w:tentative="0">
      <w:start w:val="1"/>
      <w:numFmt w:val="bullet"/>
      <w:lvlText w:val=""/>
      <w:lvlJc w:val="left"/>
      <w:pPr>
        <w:ind w:left="1880" w:hanging="440"/>
      </w:pPr>
      <w:rPr>
        <w:rFonts w:hint="default" w:ascii="Wingdings" w:hAnsi="Wingdings"/>
      </w:rPr>
    </w:lvl>
    <w:lvl w:ilvl="3" w:tentative="0">
      <w:start w:val="1"/>
      <w:numFmt w:val="bullet"/>
      <w:lvlText w:val=""/>
      <w:lvlJc w:val="left"/>
      <w:pPr>
        <w:ind w:left="2320" w:hanging="440"/>
      </w:pPr>
      <w:rPr>
        <w:rFonts w:hint="default" w:ascii="Wingdings" w:hAnsi="Wingdings"/>
      </w:rPr>
    </w:lvl>
    <w:lvl w:ilvl="4" w:tentative="0">
      <w:start w:val="1"/>
      <w:numFmt w:val="bullet"/>
      <w:lvlText w:val=""/>
      <w:lvlJc w:val="left"/>
      <w:pPr>
        <w:ind w:left="2760" w:hanging="440"/>
      </w:pPr>
      <w:rPr>
        <w:rFonts w:hint="default" w:ascii="Wingdings" w:hAnsi="Wingdings"/>
      </w:rPr>
    </w:lvl>
    <w:lvl w:ilvl="5" w:tentative="0">
      <w:start w:val="1"/>
      <w:numFmt w:val="bullet"/>
      <w:lvlText w:val=""/>
      <w:lvlJc w:val="left"/>
      <w:pPr>
        <w:ind w:left="3200" w:hanging="440"/>
      </w:pPr>
      <w:rPr>
        <w:rFonts w:hint="default" w:ascii="Wingdings" w:hAnsi="Wingdings"/>
      </w:rPr>
    </w:lvl>
    <w:lvl w:ilvl="6" w:tentative="0">
      <w:start w:val="1"/>
      <w:numFmt w:val="bullet"/>
      <w:lvlText w:val=""/>
      <w:lvlJc w:val="left"/>
      <w:pPr>
        <w:ind w:left="3640" w:hanging="440"/>
      </w:pPr>
      <w:rPr>
        <w:rFonts w:hint="default" w:ascii="Wingdings" w:hAnsi="Wingdings"/>
      </w:rPr>
    </w:lvl>
    <w:lvl w:ilvl="7" w:tentative="0">
      <w:start w:val="1"/>
      <w:numFmt w:val="bullet"/>
      <w:lvlText w:val=""/>
      <w:lvlJc w:val="left"/>
      <w:pPr>
        <w:ind w:left="4080" w:hanging="440"/>
      </w:pPr>
      <w:rPr>
        <w:rFonts w:hint="default" w:ascii="Wingdings" w:hAnsi="Wingdings"/>
      </w:rPr>
    </w:lvl>
    <w:lvl w:ilvl="8" w:tentative="0">
      <w:start w:val="1"/>
      <w:numFmt w:val="bullet"/>
      <w:lvlText w:val=""/>
      <w:lvlJc w:val="left"/>
      <w:pPr>
        <w:ind w:left="4520" w:hanging="440"/>
      </w:pPr>
      <w:rPr>
        <w:rFonts w:hint="default" w:ascii="Wingdings" w:hAnsi="Wingdings"/>
      </w:rPr>
    </w:lvl>
  </w:abstractNum>
  <w:abstractNum w:abstractNumId="2">
    <w:nsid w:val="506C092F"/>
    <w:multiLevelType w:val="multilevel"/>
    <w:tmpl w:val="506C092F"/>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C506C3"/>
    <w:rsid w:val="21A42087"/>
    <w:rsid w:val="40466DA3"/>
    <w:rsid w:val="44F27B47"/>
    <w:rsid w:val="5C6D77C6"/>
    <w:rsid w:val="68FD1B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kern w:val="0"/>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kern w:val="0"/>
      <w:sz w:val="18"/>
      <w:szCs w:val="18"/>
    </w:rPr>
  </w:style>
  <w:style w:type="character" w:styleId="6">
    <w:name w:val="page number"/>
    <w:qFormat/>
    <w:uiPriority w:val="0"/>
  </w:style>
  <w:style w:type="paragraph" w:customStyle="1" w:styleId="7">
    <w:name w:val="一级标题"/>
    <w:basedOn w:val="1"/>
    <w:autoRedefine/>
    <w:qFormat/>
    <w:uiPriority w:val="0"/>
    <w:pPr>
      <w:numPr>
        <w:ilvl w:val="0"/>
        <w:numId w:val="1"/>
      </w:numPr>
      <w:jc w:val="left"/>
      <w:outlineLvl w:val="0"/>
    </w:pPr>
    <w:rPr>
      <w:rFonts w:ascii="黑体" w:hAnsi="宋体" w:eastAsia="黑体"/>
      <w:sz w:val="30"/>
      <w:szCs w:val="30"/>
    </w:rPr>
  </w:style>
  <w:style w:type="paragraph" w:customStyle="1" w:styleId="8">
    <w:name w:val="二级标题"/>
    <w:basedOn w:val="1"/>
    <w:autoRedefine/>
    <w:qFormat/>
    <w:uiPriority w:val="0"/>
    <w:pPr>
      <w:numPr>
        <w:ilvl w:val="1"/>
        <w:numId w:val="1"/>
      </w:numPr>
      <w:jc w:val="left"/>
      <w:outlineLvl w:val="1"/>
    </w:pPr>
    <w:rPr>
      <w:rFonts w:ascii="楷体_GB2312" w:hAnsi="华文楷体" w:eastAsia="楷体_GB2312"/>
      <w:bCs/>
      <w:sz w:val="28"/>
      <w:szCs w:val="28"/>
    </w:rPr>
  </w:style>
  <w:style w:type="paragraph" w:customStyle="1" w:styleId="9">
    <w:name w:val="三级标题"/>
    <w:basedOn w:val="1"/>
    <w:autoRedefine/>
    <w:qFormat/>
    <w:uiPriority w:val="0"/>
    <w:pPr>
      <w:numPr>
        <w:ilvl w:val="2"/>
        <w:numId w:val="1"/>
      </w:numPr>
      <w:jc w:val="left"/>
      <w:outlineLvl w:val="2"/>
    </w:pPr>
    <w:rPr>
      <w:rFonts w:ascii="仿宋_GB2312" w:hAnsi="仿宋" w:eastAsia="仿宋_GB2312"/>
      <w:b/>
      <w:sz w:val="28"/>
      <w:szCs w:val="28"/>
    </w:rPr>
  </w:style>
  <w:style w:type="paragraph" w:customStyle="1" w:styleId="10">
    <w:name w:val="四级标题 + Times New Roman"/>
    <w:autoRedefine/>
    <w:qFormat/>
    <w:uiPriority w:val="0"/>
    <w:pPr>
      <w:numPr>
        <w:ilvl w:val="3"/>
        <w:numId w:val="1"/>
      </w:numPr>
      <w:jc w:val="both"/>
      <w:outlineLvl w:val="3"/>
    </w:pPr>
    <w:rPr>
      <w:rFonts w:ascii="Times New Roman" w:hAnsi="Times New Roman" w:eastAsia="仿宋_GB2312" w:cs="Times New Roman"/>
      <w:b/>
      <w:kern w:val="2"/>
      <w:sz w:val="28"/>
      <w:szCs w:val="28"/>
      <w:lang w:val="en-US" w:eastAsia="zh-CN" w:bidi="ar-SA"/>
    </w:rPr>
  </w:style>
  <w:style w:type="paragraph" w:customStyle="1" w:styleId="11">
    <w:name w:val="五级标题 + Times New Roman"/>
    <w:basedOn w:val="10"/>
    <w:autoRedefine/>
    <w:qFormat/>
    <w:uiPriority w:val="0"/>
    <w:pPr>
      <w:numPr>
        <w:ilvl w:val="4"/>
        <w:numId w:val="1"/>
      </w:numPr>
      <w:outlineLvl w:val="4"/>
    </w:pPr>
  </w:style>
  <w:style w:type="paragraph" w:customStyle="1" w:styleId="12">
    <w:name w:val="六级标题 + Times New Roman"/>
    <w:autoRedefine/>
    <w:qFormat/>
    <w:uiPriority w:val="0"/>
    <w:pPr>
      <w:numPr>
        <w:ilvl w:val="5"/>
        <w:numId w:val="1"/>
      </w:numPr>
      <w:jc w:val="both"/>
      <w:outlineLvl w:val="5"/>
    </w:pPr>
    <w:rPr>
      <w:rFonts w:ascii="Times New Roman" w:hAnsi="Times New Roman" w:eastAsia="仿宋_GB2312" w:cs="Times New Roman"/>
      <w:b/>
      <w:kern w:val="2"/>
      <w:sz w:val="28"/>
      <w:szCs w:val="28"/>
      <w:lang w:val="en-US" w:eastAsia="zh-CN" w:bidi="ar-SA"/>
    </w:rPr>
  </w:style>
  <w:style w:type="paragraph" w:customStyle="1" w:styleId="13">
    <w:name w:val="七级标题 + Times New Roman"/>
    <w:autoRedefine/>
    <w:qFormat/>
    <w:uiPriority w:val="0"/>
    <w:pPr>
      <w:numPr>
        <w:ilvl w:val="6"/>
        <w:numId w:val="1"/>
      </w:numPr>
      <w:jc w:val="both"/>
      <w:outlineLvl w:val="6"/>
    </w:pPr>
    <w:rPr>
      <w:rFonts w:ascii="Times New Roman" w:hAnsi="Times New Roman" w:eastAsia="仿宋_GB2312" w:cs="Times New Roman"/>
      <w:b/>
      <w:kern w:val="2"/>
      <w:sz w:val="28"/>
      <w:szCs w:val="28"/>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2024-04-07T01:53:12Z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C42FD10F82C64A8FB1B5285086539BC8_12</vt:lpwstr>
  </property>
</Properties>
</file>