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46716">
      <w:pPr>
        <w:jc w:val="center"/>
        <w:rPr>
          <w:rFonts w:hint="eastAsia" w:ascii="黑体" w:hAnsi="黑体" w:eastAsia="黑体"/>
          <w:b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2024年度上网行为管理设备租赁</w:t>
      </w:r>
      <w:r>
        <w:rPr>
          <w:rFonts w:hint="eastAsia" w:ascii="黑体" w:hAnsi="黑体" w:eastAsia="黑体"/>
          <w:b/>
          <w:kern w:val="0"/>
          <w:sz w:val="32"/>
          <w:szCs w:val="32"/>
          <w:lang w:val="en-US" w:eastAsia="zh-CN"/>
        </w:rPr>
        <w:t>服务</w:t>
      </w:r>
    </w:p>
    <w:p w14:paraId="41E44B20">
      <w:pPr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 w14:paraId="351542F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141055F7">
      <w:pPr>
        <w:ind w:firstLine="562" w:firstLineChars="200"/>
        <w:rPr>
          <w:rFonts w:hint="eastAsia" w:ascii="仿宋" w:hAnsi="仿宋" w:eastAsia="仿宋"/>
          <w:b/>
          <w:color w:val="333333"/>
          <w:sz w:val="28"/>
          <w:szCs w:val="28"/>
        </w:rPr>
      </w:pPr>
      <w:r>
        <w:rPr>
          <w:rFonts w:hint="eastAsia" w:ascii="仿宋" w:hAnsi="仿宋" w:eastAsia="仿宋"/>
          <w:b/>
          <w:color w:val="333333"/>
          <w:sz w:val="28"/>
          <w:szCs w:val="28"/>
        </w:rPr>
        <w:t>2024年度上网行为管理设备租赁服务</w:t>
      </w:r>
    </w:p>
    <w:p w14:paraId="00EF6F06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 w14:paraId="1C492B17">
      <w:pPr>
        <w:ind w:firstLine="562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上网行为管理设备租赁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</w:rPr>
        <w:t>提供带宽性能需满足政务外网200M，网络层吞吐量≥3Gb，应用层吞吐量≥300Mb，带宽性能≥200Mb，支持用户数≥600，准入终端数≥400（准入终端数支持扩容），最大并发连接数≥100000，符合安全可控要求的上网行为设备2台（需支持双机模式），并完成设备部署和线路调整。租赁服务包含上网设备租赁36个月，提供设备部署方案、设备上架实施、试运行、设备调优、设备使用培训。</w:t>
      </w:r>
    </w:p>
    <w:p w14:paraId="283BCE7D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主要技术指标参数及配置达到要求如下：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6441"/>
        <w:gridCol w:w="1246"/>
      </w:tblGrid>
      <w:tr w14:paraId="08898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35" w:type="dxa"/>
            <w:shd w:val="clear" w:color="auto" w:fill="auto"/>
            <w:vAlign w:val="center"/>
          </w:tcPr>
          <w:p w14:paraId="5B263CB1">
            <w:pPr>
              <w:pStyle w:val="4"/>
              <w:rPr>
                <w:rFonts w:hint="eastAsia" w:ascii="仿宋" w:hAnsi="仿宋" w:eastAsia="仿宋" w:cs="仿宋"/>
                <w:b/>
              </w:rPr>
            </w:pPr>
            <w:bookmarkStart w:id="0" w:name="_Hlk105924897"/>
            <w:r>
              <w:rPr>
                <w:rFonts w:hint="eastAsia" w:ascii="仿宋" w:hAnsi="仿宋" w:eastAsia="仿宋" w:cs="仿宋"/>
                <w:b/>
              </w:rPr>
              <w:t>名称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3696AA03">
            <w:pPr>
              <w:pStyle w:val="4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主要技术参数及配置</w:t>
            </w:r>
          </w:p>
        </w:tc>
        <w:tc>
          <w:tcPr>
            <w:tcW w:w="1246" w:type="dxa"/>
            <w:vAlign w:val="center"/>
          </w:tcPr>
          <w:p w14:paraId="1A67EE4D">
            <w:pPr>
              <w:pStyle w:val="4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数量</w:t>
            </w:r>
          </w:p>
        </w:tc>
      </w:tr>
      <w:tr w14:paraId="7BE0B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835" w:type="dxa"/>
            <w:vMerge w:val="restart"/>
            <w:shd w:val="clear" w:color="auto" w:fill="auto"/>
            <w:vAlign w:val="center"/>
          </w:tcPr>
          <w:p w14:paraId="5564D4F2">
            <w:pPr>
              <w:pStyle w:val="5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上网行为管理设备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4914CAFC">
            <w:pPr>
              <w:pStyle w:val="5"/>
              <w:jc w:val="left"/>
              <w:rPr>
                <w:rFonts w:hint="eastAsia" w:ascii="仿宋" w:hAnsi="仿宋" w:eastAsia="仿宋" w:cs="仿宋"/>
                <w:b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zCs w:val="24"/>
                <w:lang w:val="zh-CN"/>
              </w:rPr>
              <w:t>性能参数：</w:t>
            </w:r>
          </w:p>
          <w:p w14:paraId="1DD861A5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网络层吞吐量（大包）：≥3Gb</w:t>
            </w:r>
          </w:p>
          <w:p w14:paraId="1BAEA97D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应用层吞吐量：≥300Mb</w:t>
            </w:r>
          </w:p>
          <w:p w14:paraId="4A3B39DD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带宽性能：≥200Mb</w:t>
            </w:r>
          </w:p>
          <w:p w14:paraId="4537149E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IPSEC VPN加密性能（最高性能）：50Mb</w:t>
            </w:r>
          </w:p>
          <w:p w14:paraId="4759BA23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支持用户数：≥600</w:t>
            </w:r>
          </w:p>
          <w:p w14:paraId="0DA08745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准入终端数≥400（准入终端数支持扩容）</w:t>
            </w:r>
          </w:p>
          <w:p w14:paraId="0C13EDA4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最大并发连接数≥100000</w:t>
            </w:r>
          </w:p>
        </w:tc>
        <w:tc>
          <w:tcPr>
            <w:tcW w:w="1246" w:type="dxa"/>
            <w:vMerge w:val="restart"/>
            <w:vAlign w:val="center"/>
          </w:tcPr>
          <w:p w14:paraId="6F179D95">
            <w:pPr>
              <w:pStyle w:val="5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2台</w:t>
            </w:r>
          </w:p>
        </w:tc>
      </w:tr>
      <w:tr w14:paraId="3D47E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  <w:jc w:val="center"/>
        </w:trPr>
        <w:tc>
          <w:tcPr>
            <w:tcW w:w="835" w:type="dxa"/>
            <w:vMerge w:val="continue"/>
            <w:shd w:val="clear" w:color="auto" w:fill="auto"/>
            <w:vAlign w:val="center"/>
          </w:tcPr>
          <w:p w14:paraId="22736505">
            <w:pPr>
              <w:pStyle w:val="5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6441" w:type="dxa"/>
            <w:shd w:val="clear" w:color="auto" w:fill="auto"/>
            <w:vAlign w:val="center"/>
          </w:tcPr>
          <w:p w14:paraId="37DB879E">
            <w:pPr>
              <w:pStyle w:val="5"/>
              <w:jc w:val="left"/>
              <w:rPr>
                <w:rFonts w:hint="eastAsia" w:ascii="仿宋" w:hAnsi="仿宋" w:eastAsia="仿宋" w:cs="仿宋"/>
                <w:b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zCs w:val="24"/>
                <w:lang w:val="zh-CN"/>
              </w:rPr>
              <w:t>硬件参数：</w:t>
            </w:r>
          </w:p>
          <w:p w14:paraId="5C43E42D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规格：1U</w:t>
            </w:r>
          </w:p>
          <w:p w14:paraId="1225B23F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CPU：国产芯片</w:t>
            </w:r>
          </w:p>
          <w:p w14:paraId="55CC1E3C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操作系统：国产操作系统</w:t>
            </w:r>
          </w:p>
          <w:p w14:paraId="3B51EC2B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内存大小：8G</w:t>
            </w:r>
          </w:p>
          <w:p w14:paraId="5C50F6D9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硬盘容量：128G SSD</w:t>
            </w:r>
          </w:p>
          <w:p w14:paraId="52E6CF3E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接口：6千兆电口。</w:t>
            </w:r>
          </w:p>
        </w:tc>
        <w:tc>
          <w:tcPr>
            <w:tcW w:w="1246" w:type="dxa"/>
            <w:vMerge w:val="continue"/>
            <w:vAlign w:val="center"/>
          </w:tcPr>
          <w:p w14:paraId="62CEEA35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tr w14:paraId="65557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835" w:type="dxa"/>
            <w:vMerge w:val="continue"/>
            <w:shd w:val="clear" w:color="auto" w:fill="auto"/>
            <w:vAlign w:val="center"/>
          </w:tcPr>
          <w:p w14:paraId="0229CE56">
            <w:pPr>
              <w:pStyle w:val="5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6441" w:type="dxa"/>
            <w:shd w:val="clear" w:color="auto" w:fill="auto"/>
            <w:vAlign w:val="center"/>
          </w:tcPr>
          <w:p w14:paraId="3EF33D40">
            <w:pPr>
              <w:pStyle w:val="5"/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Cs w:val="24"/>
                <w:lang w:val="zh-CN"/>
              </w:rPr>
              <w:t>含：URL&amp;应用识别规则库升级、产品质保及软件升级服务3年;</w:t>
            </w:r>
          </w:p>
          <w:p w14:paraId="3A5A680D">
            <w:pPr>
              <w:jc w:val="left"/>
              <w:rPr>
                <w:rFonts w:hint="eastAsia" w:ascii="仿宋" w:hAnsi="仿宋" w:eastAsia="仿宋" w:cs="仿宋"/>
                <w:szCs w:val="24"/>
                <w:lang w:val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/>
              </w:rPr>
              <w:t>包含：网页审计、实时监测、日志分析、带宽分配、应用引流、应用管控等功能。</w:t>
            </w:r>
          </w:p>
        </w:tc>
        <w:tc>
          <w:tcPr>
            <w:tcW w:w="1246" w:type="dxa"/>
            <w:vMerge w:val="continue"/>
            <w:vAlign w:val="center"/>
          </w:tcPr>
          <w:p w14:paraId="2932EF59">
            <w:pPr>
              <w:pStyle w:val="5"/>
              <w:rPr>
                <w:rFonts w:hint="eastAsia" w:ascii="仿宋" w:hAnsi="仿宋" w:eastAsia="仿宋" w:cs="仿宋"/>
              </w:rPr>
            </w:pPr>
          </w:p>
        </w:tc>
      </w:tr>
      <w:bookmarkEnd w:id="0"/>
    </w:tbl>
    <w:p w14:paraId="7C0FEDC6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</w:p>
    <w:p w14:paraId="0797DF33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主要设备功能指标达到要求如下：</w:t>
      </w:r>
    </w:p>
    <w:tbl>
      <w:tblPr>
        <w:tblStyle w:val="2"/>
        <w:tblW w:w="8522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109"/>
      </w:tblGrid>
      <w:tr w14:paraId="0FA44D0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413" w:type="dxa"/>
            <w:vAlign w:val="center"/>
          </w:tcPr>
          <w:p w14:paraId="3F9F9F9A">
            <w:pPr>
              <w:pStyle w:val="5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功能模块</w:t>
            </w:r>
          </w:p>
        </w:tc>
        <w:tc>
          <w:tcPr>
            <w:tcW w:w="7109" w:type="dxa"/>
            <w:vAlign w:val="center"/>
          </w:tcPr>
          <w:p w14:paraId="6B8F81E4">
            <w:pPr>
              <w:pStyle w:val="5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功能指标要求</w:t>
            </w:r>
          </w:p>
        </w:tc>
      </w:tr>
      <w:tr w14:paraId="6494043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413" w:type="dxa"/>
            <w:vMerge w:val="restart"/>
            <w:vAlign w:val="center"/>
          </w:tcPr>
          <w:p w14:paraId="09257FD8">
            <w:pPr>
              <w:pStyle w:val="5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基本功能</w:t>
            </w:r>
          </w:p>
          <w:p w14:paraId="55CA280A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70EDF177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支持路由模式（NAT、路由转发、DHCP、GRE、OSPF）、网桥模式（多路桥接模式）、旁路模式；</w:t>
            </w:r>
          </w:p>
        </w:tc>
      </w:tr>
      <w:tr w14:paraId="20EDBD3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413" w:type="dxa"/>
            <w:vMerge w:val="continue"/>
            <w:vAlign w:val="center"/>
          </w:tcPr>
          <w:p w14:paraId="24EE2CB9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763515B5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支持智能负载均衡，负载策略可配置：优先使用优先级最高的线路、按运营商负载、剩余带宽、带宽比例、平均分配以及禁用默认负载策略；</w:t>
            </w:r>
          </w:p>
        </w:tc>
      </w:tr>
      <w:tr w14:paraId="49A20E2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413" w:type="dxa"/>
            <w:vMerge w:val="continue"/>
            <w:vAlign w:val="center"/>
          </w:tcPr>
          <w:p w14:paraId="648A05EE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08963741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优先使用优先级高的线路，支持按运营商、剩余带宽、带宽比例、平均分配等多种链路负载方式；支持链路故障检测；</w:t>
            </w:r>
          </w:p>
        </w:tc>
      </w:tr>
      <w:tr w14:paraId="6E544F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413" w:type="dxa"/>
            <w:vMerge w:val="continue"/>
            <w:vAlign w:val="center"/>
          </w:tcPr>
          <w:p w14:paraId="3C6E4C8C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3C0E6B50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必须支持两台及两台以上设备同时做主机的部署模式； （提供产品功能截图证明）</w:t>
            </w:r>
          </w:p>
        </w:tc>
      </w:tr>
      <w:tr w14:paraId="5D0E708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413" w:type="dxa"/>
            <w:vMerge w:val="continue"/>
            <w:vAlign w:val="center"/>
          </w:tcPr>
          <w:p w14:paraId="6709D588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502BE8E6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支持首页分析显示接入用户人数、终端类型；带宽质量分析、实时流量排名；资产类型分布、新设备发现趋势、终端违规检查项排行、终端违规用户排行；（提供产品功能截图证明）</w:t>
            </w:r>
          </w:p>
        </w:tc>
      </w:tr>
      <w:tr w14:paraId="75196C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5D8AFDED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73708EF9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支持PPS异常、丢包异常、ARP异常、内网DOS攻击等异常情况实时监测，显示每日异常事件个数及情况；</w:t>
            </w:r>
          </w:p>
        </w:tc>
      </w:tr>
      <w:tr w14:paraId="6ACDF38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5632235D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75F80539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支持部署在IPv6环境中，设备接口及部署模式均支持ipv6配置，所有核心功能（上网认证、应用控制、流量控制、内容审计、日志报表等）都支持IPv6；</w:t>
            </w:r>
          </w:p>
        </w:tc>
      </w:tr>
      <w:tr w14:paraId="10195E6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4BA627A7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6DCFCE53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支持针对上网权限策略进行检测分析，查看各个应用是否匹配相关策略；</w:t>
            </w:r>
          </w:p>
        </w:tc>
      </w:tr>
      <w:tr w14:paraId="0C1036B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1AA33D29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645D27E8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支持针对用户认证的故障进行分析，给出错误详情以及排查建议；</w:t>
            </w:r>
          </w:p>
        </w:tc>
      </w:tr>
      <w:tr w14:paraId="3023AF9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58AAE0FD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3DC4906D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支持基于用户组、位置、终端类型、URL类型配置流量管控策略，支持基于IP或用户名灵活配置流控单位；</w:t>
            </w:r>
          </w:p>
        </w:tc>
      </w:tr>
      <w:tr w14:paraId="624BC74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67C773AF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2AB30121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支持通过抑制P2P的下行丢包，来减缓P2P的下行流量，从而解决网络出口在做流控后仍然压力较大的问题；（提供产品功能截图证明） </w:t>
            </w:r>
          </w:p>
        </w:tc>
      </w:tr>
      <w:tr w14:paraId="7965A9D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1FEFC270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322C5156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支持在设置流量策略后，根据整体线路或者某流量通道内的空闲情况，自动启用和停止使用流量控制策略，以提升带宽的高使用率；空闲值可自定义；（提供产品功能截图证明）</w:t>
            </w:r>
          </w:p>
        </w:tc>
      </w:tr>
      <w:tr w14:paraId="5CF2FD8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39C7056A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5C91780A">
            <w:pPr>
              <w:pStyle w:val="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支持开启直通后，流量控制模块依然生效，避免全部数据直通导致线路流量过大；</w:t>
            </w:r>
          </w:p>
        </w:tc>
      </w:tr>
      <w:tr w14:paraId="746B86F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6570F8EE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shd w:val="clear" w:color="auto" w:fill="auto"/>
            <w:vAlign w:val="center"/>
          </w:tcPr>
          <w:p w14:paraId="78C32B6E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支持发现私接路由（或者共享软件等）共享网络的行为，支持“仅统计电脑”和“统计所有终端”两种模式，自定义配置终端数量和冻结时间，支持添加信任列表，支持例外排除功能；</w:t>
            </w:r>
          </w:p>
        </w:tc>
      </w:tr>
      <w:tr w14:paraId="1C4DE5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46032673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shd w:val="clear" w:color="auto" w:fill="auto"/>
            <w:vAlign w:val="center"/>
          </w:tcPr>
          <w:p w14:paraId="02D9D5DF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支持发现私接路由（或者共享软件等）共享网络的行为，以IP或用户名的维度统计一段时间内的趋势图；</w:t>
            </w:r>
          </w:p>
        </w:tc>
      </w:tr>
      <w:tr w14:paraId="392A69F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3BD84321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4EF35B23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支持超过900种以上主流Saas应用，对Saas应用有默认分类标签，帮助我单位统一配置策略；（提供产品功能截图证明）</w:t>
            </w:r>
          </w:p>
        </w:tc>
      </w:tr>
      <w:tr w14:paraId="4F39E56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5F4A44FC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3A7D76F9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设备内置海量预分类的URL地址库，能够针对各种URL类型做识别和分类，同时所有URL类型都支持区分“网站浏览”、“文件上传”、“其他上传”、“HTTPS”等细分行为并分别做权限控制；</w:t>
            </w:r>
          </w:p>
        </w:tc>
      </w:tr>
      <w:tr w14:paraId="739DD2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06BBED0C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11DEC274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设备支持管理者自定义新的URL地址和URL分类；</w:t>
            </w:r>
          </w:p>
        </w:tc>
      </w:tr>
      <w:tr w14:paraId="17C3A74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6C257311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5AAA1870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支持图形化查看当前内网IP使用情况，帮助管理员减少人工维护IP表的工作量；（提供产品功能截图证明）</w:t>
            </w:r>
          </w:p>
        </w:tc>
      </w:tr>
      <w:tr w14:paraId="2CE44F6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4FDDC1C7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111BE08B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识别并过滤SSL加密的钓鱼网站、非法网站等，支持将违规https访问重定向到告警页面；（提供自主知识产权证明）</w:t>
            </w:r>
          </w:p>
        </w:tc>
      </w:tr>
      <w:tr w14:paraId="218A937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1E9C950C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3B436E40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支持根据访问的URL和网页关键字进行网页过滤，支持设置拒绝以IP访问网页行为；</w:t>
            </w:r>
          </w:p>
        </w:tc>
      </w:tr>
      <w:tr w14:paraId="4983FA3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18F78AD2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43FEFDD3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针对内网用户的web访问质量进行检测，对整体网络提供清晰的整体网络质量评级；（提供产品功能截图证明）</w:t>
            </w:r>
          </w:p>
        </w:tc>
      </w:tr>
      <w:tr w14:paraId="0CF58B0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3CDCC58D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787D1179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支持根据IP、端口、协议等自定义应用规则；支持根据端口设定用户不允许访问的目标IP组提供的服务；支持根据不同的应用类型或具体的某种应用设置允许或拒绝；</w:t>
            </w:r>
          </w:p>
        </w:tc>
      </w:tr>
      <w:tr w14:paraId="52B3D09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13" w:type="dxa"/>
            <w:vMerge w:val="continue"/>
            <w:vAlign w:val="center"/>
          </w:tcPr>
          <w:p w14:paraId="60DBCD3F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179C23AD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能够与我单位现有深信服安全态势感知产品实现联动，实现资产信息上报；（提供产品功能截图证明及承诺函）</w:t>
            </w:r>
          </w:p>
        </w:tc>
      </w:tr>
      <w:tr w14:paraId="4870E0B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1413" w:type="dxa"/>
            <w:vMerge w:val="restart"/>
            <w:vAlign w:val="center"/>
          </w:tcPr>
          <w:p w14:paraId="6BE1EA42">
            <w:pPr>
              <w:pStyle w:val="5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管理员功能</w:t>
            </w:r>
          </w:p>
        </w:tc>
        <w:tc>
          <w:tcPr>
            <w:tcW w:w="7109" w:type="dxa"/>
            <w:vAlign w:val="center"/>
          </w:tcPr>
          <w:p w14:paraId="7C3C8CBA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支持细致的管理员权限划分，包括对不同用户组的管理权限、对各种主要功能界面的配置和查看权限；</w:t>
            </w:r>
          </w:p>
        </w:tc>
      </w:tr>
      <w:tr w14:paraId="0627738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13" w:type="dxa"/>
            <w:vMerge w:val="continue"/>
            <w:vAlign w:val="center"/>
          </w:tcPr>
          <w:p w14:paraId="6AEF2955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54C8361E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可设置四类管理员，分别为系统管理员、安全管理员、审计管理员，以及多种权限的超级管理员；管理员支持分级，高级别管理员的策略配置优先生效，并可修改低级管理员的策略；</w:t>
            </w:r>
          </w:p>
        </w:tc>
      </w:tr>
      <w:tr w14:paraId="759BF41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3" w:type="dxa"/>
            <w:vMerge w:val="restart"/>
            <w:vAlign w:val="center"/>
          </w:tcPr>
          <w:p w14:paraId="30D1AA26">
            <w:pPr>
              <w:pStyle w:val="5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终端安全</w:t>
            </w:r>
          </w:p>
        </w:tc>
        <w:tc>
          <w:tcPr>
            <w:tcW w:w="7109" w:type="dxa"/>
            <w:vAlign w:val="center"/>
          </w:tcPr>
          <w:p w14:paraId="097D2997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 xml:space="preserve">自动发现网络里面的终端，并获取IP、Mac、厂商、操作系统等信息，设备必须支持PC、移动设备、哑终端、专用设备的发现和型号识别：至少支持Windows、Linux、MAC、瘦客户机等PC；至少支持手机、平板等移动设备；至少支持服务器、交换机、无线控制器等网络设备；至少支持打印机、投影仪、电视、摄像头、门禁系统等哑终端；支持自定义终端类型（提供产品功能截图证明）  </w:t>
            </w:r>
          </w:p>
        </w:tc>
      </w:tr>
      <w:tr w14:paraId="20AA4E2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3" w:type="dxa"/>
            <w:vMerge w:val="continue"/>
            <w:vAlign w:val="center"/>
          </w:tcPr>
          <w:p w14:paraId="720B8BA4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6FD4F386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基于“流量”、“流速”、“时长”设置配额，当配额耗尽后，将用户加入到指定的流控黑名单惩罚通道中；用户指定应用上网流速超过预设阈值后，网关自动提醒该用户；</w:t>
            </w:r>
          </w:p>
        </w:tc>
      </w:tr>
      <w:tr w14:paraId="781C9D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1413" w:type="dxa"/>
            <w:vMerge w:val="continue"/>
            <w:vAlign w:val="center"/>
          </w:tcPr>
          <w:p w14:paraId="78D80930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7596166C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对网络接入的终端进行可视化管理，展示终端详细信息、合规状态等，支持查看终端类型，以及终端详细信息（厂商，系统，端口等）；（提供产品功能截图证明）</w:t>
            </w:r>
          </w:p>
        </w:tc>
      </w:tr>
      <w:tr w14:paraId="0E94878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13" w:type="dxa"/>
            <w:vMerge w:val="restart"/>
            <w:vAlign w:val="center"/>
          </w:tcPr>
          <w:p w14:paraId="20203EF7">
            <w:pPr>
              <w:pStyle w:val="5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认证功能</w:t>
            </w:r>
          </w:p>
        </w:tc>
        <w:tc>
          <w:tcPr>
            <w:tcW w:w="7109" w:type="dxa"/>
            <w:vAlign w:val="center"/>
          </w:tcPr>
          <w:p w14:paraId="5E804A42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 xml:space="preserve"> 基于IP网段、VlanID、MAC、SSID、地址等实现新用户差异化自动分组、认证规则；</w:t>
            </w:r>
          </w:p>
        </w:tc>
      </w:tr>
      <w:tr w14:paraId="1799DDE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3" w:type="dxa"/>
            <w:vMerge w:val="continue"/>
            <w:vAlign w:val="center"/>
          </w:tcPr>
          <w:p w14:paraId="3389ACA8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shd w:val="clear" w:color="auto" w:fill="auto"/>
            <w:vAlign w:val="center"/>
          </w:tcPr>
          <w:p w14:paraId="0F2C8DFC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支持触发式WEB认证、用户名密码认证、IP/MAC认证、短信认证、自注册认证；</w:t>
            </w:r>
          </w:p>
        </w:tc>
      </w:tr>
      <w:tr w14:paraId="30CD204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3" w:type="dxa"/>
            <w:vMerge w:val="continue"/>
            <w:vAlign w:val="center"/>
          </w:tcPr>
          <w:p w14:paraId="3D391A9F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shd w:val="clear" w:color="auto" w:fill="auto"/>
            <w:vAlign w:val="center"/>
          </w:tcPr>
          <w:p w14:paraId="294EC8A5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支持通过OAuth认证协议对接，支持与企业微信等第三方账号授权认证；（提供产品功能截图证明）</w:t>
            </w:r>
          </w:p>
        </w:tc>
      </w:tr>
      <w:tr w14:paraId="67534EA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13" w:type="dxa"/>
            <w:vMerge w:val="continue"/>
            <w:vAlign w:val="center"/>
          </w:tcPr>
          <w:p w14:paraId="670E6932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shd w:val="clear" w:color="auto" w:fill="auto"/>
            <w:vAlign w:val="center"/>
          </w:tcPr>
          <w:p w14:paraId="4045EB5A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支持提供二维码和会议号，用户扫码或输入会议号认证上网；支持通过验证手机号码实名认证；（提供产品功能截图证明）</w:t>
            </w:r>
          </w:p>
        </w:tc>
      </w:tr>
      <w:tr w14:paraId="14202D3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vAlign w:val="center"/>
          </w:tcPr>
          <w:p w14:paraId="04609D7D">
            <w:pPr>
              <w:pStyle w:val="5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日志及监控</w:t>
            </w:r>
          </w:p>
        </w:tc>
        <w:tc>
          <w:tcPr>
            <w:tcW w:w="7109" w:type="dxa"/>
            <w:vAlign w:val="center"/>
          </w:tcPr>
          <w:p w14:paraId="7E2895AD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设备支持内置日志中心和独立日志中心；支持分级配置管理员日志查看权限，管理员登录日志中心只能查看指定用户组的上网行为日志；</w:t>
            </w:r>
          </w:p>
        </w:tc>
      </w:tr>
      <w:tr w14:paraId="165DACA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3" w:type="dxa"/>
            <w:vMerge w:val="continue"/>
            <w:vAlign w:val="center"/>
          </w:tcPr>
          <w:p w14:paraId="26E06F64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387DBD93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支持查询和导出基于指定时间段/用户/用户组的文件审计、邮件收发、访问网站、发帖/微博、搜索关键字等详细用户行为的报表；</w:t>
            </w:r>
          </w:p>
        </w:tc>
      </w:tr>
      <w:tr w14:paraId="05401B1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3" w:type="dxa"/>
            <w:vMerge w:val="continue"/>
            <w:vAlign w:val="center"/>
          </w:tcPr>
          <w:p w14:paraId="56DFD1C6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7A2E77E4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支持基于时间段/用户/用户组/终端类型/位置等维度的多种上网行为统计排行报表；</w:t>
            </w:r>
          </w:p>
        </w:tc>
      </w:tr>
      <w:tr w14:paraId="607DF33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13" w:type="dxa"/>
            <w:vMerge w:val="continue"/>
            <w:vAlign w:val="center"/>
          </w:tcPr>
          <w:p w14:paraId="63471A77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0ABFE81C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日志中心可以对上网日志进行大数据分析，并支持多个大数据分析模型，包括全网上网态势分析、办公网上网态势分析、带宽分析、专线质量分析、未关机检测分析、图书馆资源优化；</w:t>
            </w:r>
          </w:p>
        </w:tc>
      </w:tr>
      <w:tr w14:paraId="2A20E86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13" w:type="dxa"/>
            <w:vMerge w:val="continue"/>
            <w:vAlign w:val="center"/>
          </w:tcPr>
          <w:p w14:paraId="7F284899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07A73B2D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支持CPU告警、支持内存告警、支持用户授权数告警、支持管理员账号登陆锁定告警、支持用户账号登陆锁定告警，告警方式为邮件、短信、邮件和短信。（要求提供配置截图）</w:t>
            </w:r>
          </w:p>
        </w:tc>
      </w:tr>
      <w:tr w14:paraId="2C00E5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413" w:type="dxa"/>
            <w:vMerge w:val="restart"/>
            <w:vAlign w:val="center"/>
          </w:tcPr>
          <w:p w14:paraId="0D72105C">
            <w:pPr>
              <w:pStyle w:val="5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业务访问审计</w:t>
            </w:r>
          </w:p>
        </w:tc>
        <w:tc>
          <w:tcPr>
            <w:tcW w:w="7109" w:type="dxa"/>
            <w:shd w:val="clear" w:color="auto" w:fill="auto"/>
            <w:vAlign w:val="center"/>
          </w:tcPr>
          <w:p w14:paraId="19A9D61A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支持自定义业务系统名称、描述，绑定到相应的IP地址和端口或域名，以每个业务系统作为单独审计对象；（提供产品功能截图证明）</w:t>
            </w:r>
          </w:p>
        </w:tc>
      </w:tr>
      <w:tr w14:paraId="199840F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3" w:type="dxa"/>
            <w:vMerge w:val="continue"/>
            <w:vAlign w:val="center"/>
          </w:tcPr>
          <w:p w14:paraId="022EF83F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shd w:val="clear" w:color="auto" w:fill="auto"/>
            <w:vAlign w:val="center"/>
          </w:tcPr>
          <w:p w14:paraId="3AF02D0A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支持WEB/FTP/SMB类型业务的行为和内容审计，对上传/下载文件可选择只审计文件名或同时审计文件内容；（提供产品功能截图证明）</w:t>
            </w:r>
          </w:p>
        </w:tc>
      </w:tr>
      <w:tr w14:paraId="3ABF4C5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413" w:type="dxa"/>
            <w:vMerge w:val="continue"/>
            <w:vAlign w:val="center"/>
          </w:tcPr>
          <w:p w14:paraId="24F6585E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shd w:val="clear" w:color="auto" w:fill="auto"/>
            <w:vAlign w:val="center"/>
          </w:tcPr>
          <w:p w14:paraId="14D34E3A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支持服务器外联行为及流量审计；（提供产品功能截图证明）</w:t>
            </w:r>
          </w:p>
        </w:tc>
      </w:tr>
      <w:tr w14:paraId="698EDED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13" w:type="dxa"/>
            <w:vMerge w:val="restart"/>
            <w:vAlign w:val="center"/>
          </w:tcPr>
          <w:p w14:paraId="743E3B41">
            <w:pPr>
              <w:pStyle w:val="5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资质</w:t>
            </w:r>
          </w:p>
        </w:tc>
        <w:tc>
          <w:tcPr>
            <w:tcW w:w="7109" w:type="dxa"/>
            <w:vAlign w:val="center"/>
          </w:tcPr>
          <w:p w14:paraId="09FFCD19">
            <w:pPr>
              <w:pStyle w:val="5"/>
              <w:jc w:val="both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公安部销售许可证(三级）</w:t>
            </w:r>
          </w:p>
        </w:tc>
      </w:tr>
      <w:tr w14:paraId="2E42031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13" w:type="dxa"/>
            <w:vMerge w:val="continue"/>
            <w:vAlign w:val="center"/>
          </w:tcPr>
          <w:p w14:paraId="12F4352F">
            <w:pPr>
              <w:pStyle w:val="5"/>
              <w:rPr>
                <w:rFonts w:hint="eastAsia" w:ascii="仿宋" w:hAnsi="仿宋" w:eastAsia="仿宋" w:cs="仿宋"/>
              </w:rPr>
            </w:pPr>
          </w:p>
        </w:tc>
        <w:tc>
          <w:tcPr>
            <w:tcW w:w="7109" w:type="dxa"/>
            <w:vAlign w:val="center"/>
          </w:tcPr>
          <w:p w14:paraId="43A1BEE9">
            <w:pPr>
              <w:widowControl/>
              <w:jc w:val="left"/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lang w:val="en-US" w:eastAsia="zh-CN" w:bidi="ar-SA"/>
              </w:rPr>
              <w:t>中国信息安全测评中心颁发的《国家信息安全测评/ 信息技术产品安全测评证书（级别：EAL3+）》</w:t>
            </w:r>
          </w:p>
        </w:tc>
      </w:tr>
    </w:tbl>
    <w:p w14:paraId="51D38B51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</w:p>
    <w:p w14:paraId="477551BD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 w14:paraId="4F30B55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合同租赁服务期三年，三年期满后设备归采购人所有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6E29A691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4782DBCE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供应商按要求完成采购服务内容后，提供需求描述中所要求的报告作为交付成果。</w:t>
      </w:r>
    </w:p>
    <w:p w14:paraId="4FA6EC34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06D07DB4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244DA906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 w14:paraId="4457DF38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3本项目不接受联合体投标。</w:t>
      </w:r>
    </w:p>
    <w:p w14:paraId="09E9331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4.本项目不举行集中答疑标。</w:t>
      </w:r>
    </w:p>
    <w:p w14:paraId="22EF6EC3">
      <w:bookmarkStart w:id="1" w:name="_GoBack"/>
      <w:bookmarkEnd w:id="1"/>
    </w:p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17C7ED5"/>
    <w:rsid w:val="0C4E5FB8"/>
    <w:rsid w:val="0CC506C3"/>
    <w:rsid w:val="16126872"/>
    <w:rsid w:val="1FBB6B5F"/>
    <w:rsid w:val="24763B11"/>
    <w:rsid w:val="24D446E0"/>
    <w:rsid w:val="27393621"/>
    <w:rsid w:val="2CE74C51"/>
    <w:rsid w:val="40466DA3"/>
    <w:rsid w:val="42254AB8"/>
    <w:rsid w:val="44F27B47"/>
    <w:rsid w:val="56F6212C"/>
    <w:rsid w:val="5C6D77C6"/>
    <w:rsid w:val="68FD1BBF"/>
    <w:rsid w:val="6E530CFA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G-表格"/>
    <w:basedOn w:val="1"/>
    <w:qFormat/>
    <w:uiPriority w:val="0"/>
    <w:pPr>
      <w:widowControl/>
      <w:adjustRightInd w:val="0"/>
      <w:jc w:val="center"/>
    </w:pPr>
    <w:rPr>
      <w:sz w:val="24"/>
      <w:szCs w:val="24"/>
      <w:lang w:val="en-GB"/>
    </w:rPr>
  </w:style>
  <w:style w:type="paragraph" w:customStyle="1" w:styleId="5">
    <w:name w:val="DG表格"/>
    <w:next w:val="1"/>
    <w:qFormat/>
    <w:uiPriority w:val="9"/>
    <w:pPr>
      <w:adjustRightInd w:val="0"/>
      <w:snapToGrid w:val="0"/>
      <w:jc w:val="center"/>
    </w:pPr>
    <w:rPr>
      <w:rFonts w:ascii="宋体" w:hAns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2024-10-18T08:28:35Z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C42FD10F82C64A8FB1B5285086539BC8_12</vt:lpwstr>
  </property>
</Properties>
</file>