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C6ABF5">
      <w:pPr>
        <w:spacing w:line="0" w:lineRule="atLeast"/>
        <w:ind w:left="-141" w:leftChars="-67" w:firstLine="167" w:firstLineChars="38"/>
        <w:jc w:val="center"/>
        <w:rPr>
          <w:rFonts w:hint="eastAsia" w:ascii="华文中宋" w:hAnsi="华文中宋" w:eastAsia="华文中宋" w:cs="方正小标宋简体"/>
          <w:b/>
          <w:bCs/>
          <w:kern w:val="0"/>
          <w:sz w:val="44"/>
          <w:szCs w:val="44"/>
        </w:rPr>
      </w:pPr>
      <w:r>
        <w:rPr>
          <w:rFonts w:hint="eastAsia" w:ascii="华文中宋" w:hAnsi="华文中宋" w:eastAsia="华文中宋" w:cs="方正小标宋简体"/>
          <w:b/>
          <w:bCs/>
          <w:kern w:val="0"/>
          <w:sz w:val="44"/>
          <w:szCs w:val="44"/>
        </w:rPr>
        <w:t>项目采购需求</w:t>
      </w:r>
    </w:p>
    <w:p w14:paraId="7995B159">
      <w:pPr>
        <w:jc w:val="left"/>
        <w:rPr>
          <w:rFonts w:ascii="黑体" w:hAnsi="宋体" w:eastAsia="黑体"/>
          <w:sz w:val="28"/>
          <w:szCs w:val="32"/>
        </w:rPr>
      </w:pPr>
    </w:p>
    <w:p w14:paraId="098C4C00">
      <w:pPr>
        <w:pStyle w:val="7"/>
        <w:rPr>
          <w:rFonts w:ascii="Times New Roman" w:hAnsi="Times New Roman"/>
        </w:rPr>
      </w:pPr>
      <w:r>
        <w:rPr>
          <w:rFonts w:ascii="Times New Roman" w:hAnsi="Times New Roman"/>
        </w:rPr>
        <w:t>项目概况</w:t>
      </w:r>
    </w:p>
    <w:p w14:paraId="294A0C7B">
      <w:pPr>
        <w:pStyle w:val="8"/>
        <w:rPr>
          <w:rFonts w:ascii="Times New Roman" w:hAnsi="Times New Roman"/>
        </w:rPr>
      </w:pPr>
      <w:r>
        <w:rPr>
          <w:rFonts w:ascii="Times New Roman" w:hAnsi="Times New Roman"/>
        </w:rPr>
        <w:t>基本信息</w:t>
      </w:r>
    </w:p>
    <w:p w14:paraId="2217AB04">
      <w:pPr>
        <w:pStyle w:val="9"/>
        <w:rPr>
          <w:rFonts w:ascii="Times New Roman" w:hAnsi="Times New Roman"/>
        </w:rPr>
      </w:pPr>
      <w:r>
        <w:rPr>
          <w:rFonts w:ascii="Times New Roman" w:hAnsi="Times New Roman"/>
        </w:rPr>
        <w:t>项目名称</w:t>
      </w:r>
    </w:p>
    <w:p w14:paraId="2109D3B0">
      <w:pPr>
        <w:ind w:firstLine="560" w:firstLineChars="200"/>
        <w:jc w:val="left"/>
        <w:rPr>
          <w:rFonts w:eastAsia="楷体_GB2312"/>
          <w:sz w:val="28"/>
          <w:szCs w:val="28"/>
        </w:rPr>
      </w:pPr>
      <w:r>
        <w:rPr>
          <w:rFonts w:hint="eastAsia" w:eastAsia="楷体_GB2312"/>
          <w:sz w:val="28"/>
          <w:szCs w:val="28"/>
        </w:rPr>
        <w:t>省科技厅政务信息化安全服务（2024年）项目（网络安全运营服务部分）</w:t>
      </w:r>
    </w:p>
    <w:p w14:paraId="7F1BD378">
      <w:pPr>
        <w:pStyle w:val="9"/>
        <w:rPr>
          <w:rFonts w:ascii="Times New Roman" w:hAnsi="Times New Roman"/>
        </w:rPr>
      </w:pPr>
      <w:r>
        <w:rPr>
          <w:rFonts w:ascii="Times New Roman" w:hAnsi="Times New Roman"/>
        </w:rPr>
        <w:t>采购人</w:t>
      </w:r>
    </w:p>
    <w:p w14:paraId="75C3F112">
      <w:pPr>
        <w:ind w:firstLine="560" w:firstLineChars="200"/>
        <w:jc w:val="left"/>
        <w:rPr>
          <w:rFonts w:hint="eastAsia" w:eastAsia="楷体_GB2312"/>
          <w:sz w:val="28"/>
          <w:szCs w:val="28"/>
        </w:rPr>
      </w:pPr>
      <w:r>
        <w:rPr>
          <w:rFonts w:hint="eastAsia" w:eastAsia="楷体_GB2312"/>
          <w:sz w:val="28"/>
          <w:szCs w:val="28"/>
        </w:rPr>
        <w:t>广东省科技创新监测研究中心</w:t>
      </w:r>
    </w:p>
    <w:p w14:paraId="1071A757">
      <w:pPr>
        <w:pStyle w:val="9"/>
        <w:rPr>
          <w:rFonts w:ascii="Times New Roman" w:hAnsi="Times New Roman"/>
        </w:rPr>
      </w:pPr>
      <w:r>
        <w:rPr>
          <w:rFonts w:ascii="Times New Roman" w:hAnsi="Times New Roman"/>
        </w:rPr>
        <w:t>项目总体目标</w:t>
      </w:r>
    </w:p>
    <w:p w14:paraId="26F29A14">
      <w:pPr>
        <w:ind w:firstLine="560" w:firstLineChars="200"/>
        <w:jc w:val="left"/>
        <w:rPr>
          <w:rFonts w:hint="eastAsia" w:eastAsia="楷体_GB2312"/>
          <w:sz w:val="28"/>
          <w:szCs w:val="28"/>
        </w:rPr>
      </w:pPr>
      <w:r>
        <w:rPr>
          <w:rFonts w:hint="eastAsia" w:eastAsia="楷体_GB2312"/>
          <w:sz w:val="28"/>
          <w:szCs w:val="28"/>
        </w:rPr>
        <w:t>基于省科技厅政务信息系统运行现状，通过抽查厅内各政务信息化系统，进行日志分析、重点时节安全值守、安全漏洞扫描或渗透测试等网络安全运营服务，深入分析安全风险，系统评估安全状况，全面排查安全隐患，提升自主可控水平和安全防护能力，预防和减少网络安全事件的发生，保障厅内政务信息系统稳定、可靠、安全、高效、不间断运行，为各项政务服务工作的正常开展提供强有力的运行服务支撑。</w:t>
      </w:r>
    </w:p>
    <w:p w14:paraId="64C19FF5">
      <w:pPr>
        <w:pStyle w:val="9"/>
        <w:rPr>
          <w:rFonts w:ascii="Times New Roman" w:hAnsi="Times New Roman"/>
        </w:rPr>
      </w:pPr>
      <w:r>
        <w:rPr>
          <w:rFonts w:ascii="Times New Roman" w:hAnsi="Times New Roman"/>
        </w:rPr>
        <w:t>服务地点</w:t>
      </w:r>
    </w:p>
    <w:p w14:paraId="08CE2BE5">
      <w:pPr>
        <w:ind w:firstLine="560" w:firstLineChars="200"/>
        <w:jc w:val="left"/>
        <w:rPr>
          <w:rFonts w:hint="eastAsia" w:eastAsia="楷体_GB2312"/>
          <w:sz w:val="28"/>
          <w:szCs w:val="28"/>
        </w:rPr>
      </w:pPr>
      <w:r>
        <w:rPr>
          <w:rFonts w:hint="eastAsia" w:eastAsia="楷体_GB2312"/>
          <w:sz w:val="28"/>
          <w:szCs w:val="28"/>
        </w:rPr>
        <w:t>广东省科技创新监测研究中心</w:t>
      </w:r>
      <w:r>
        <w:rPr>
          <w:rFonts w:hint="eastAsia" w:eastAsia="楷体_GB2312"/>
          <w:sz w:val="28"/>
          <w:szCs w:val="28"/>
          <w:lang w:val="en-US" w:eastAsia="zh-CN"/>
        </w:rPr>
        <w:t>及指定地点。</w:t>
      </w:r>
    </w:p>
    <w:p w14:paraId="35F83021">
      <w:pPr>
        <w:pStyle w:val="8"/>
        <w:rPr>
          <w:rFonts w:ascii="Times New Roman" w:hAnsi="Times New Roman"/>
        </w:rPr>
      </w:pPr>
      <w:r>
        <w:rPr>
          <w:rFonts w:ascii="Times New Roman" w:hAnsi="Times New Roman"/>
        </w:rPr>
        <w:t>项目背景</w:t>
      </w:r>
    </w:p>
    <w:p w14:paraId="1401B08F">
      <w:pPr>
        <w:ind w:firstLine="560" w:firstLineChars="200"/>
        <w:jc w:val="left"/>
        <w:rPr>
          <w:rFonts w:hint="eastAsia" w:eastAsia="楷体_GB2312"/>
          <w:sz w:val="28"/>
          <w:szCs w:val="28"/>
        </w:rPr>
      </w:pPr>
      <w:r>
        <w:rPr>
          <w:rFonts w:hint="eastAsia" w:eastAsia="楷体_GB2312"/>
          <w:sz w:val="28"/>
          <w:szCs w:val="28"/>
        </w:rPr>
        <w:t>省科技厅政务信息系统的安全稳定运行，很大程度上依赖安全监控防护手段和专业安全服务团队进行的网络安全运营服务。为有效提升厅政务信息系统安全水平，切实响应广东省“数字政府”改革建设要求，降低安全风险，满足安全合规要求，本项目拟采购网络安全运营服务。其中数据库审计服务、虚拟日志服务、WAF防护服务、Web监测服务是为部署于省政务云的系统加强防护能力和满足合规要求；网络安全应急响应服务、安全重保值守服务是为加强攻防演练的网络安全防守能力。</w:t>
      </w:r>
    </w:p>
    <w:p w14:paraId="35045745">
      <w:pPr>
        <w:pStyle w:val="7"/>
        <w:rPr>
          <w:rFonts w:ascii="Times New Roman" w:hAnsi="Times New Roman"/>
        </w:rPr>
      </w:pPr>
      <w:r>
        <w:rPr>
          <w:rFonts w:ascii="Times New Roman" w:hAnsi="Times New Roman"/>
        </w:rPr>
        <w:t>项目预算</w:t>
      </w:r>
    </w:p>
    <w:p w14:paraId="08AB6CB2">
      <w:pPr>
        <w:ind w:firstLine="560" w:firstLineChars="200"/>
        <w:jc w:val="left"/>
        <w:rPr>
          <w:rFonts w:eastAsia="楷体_GB2312"/>
          <w:sz w:val="28"/>
          <w:szCs w:val="28"/>
        </w:rPr>
      </w:pPr>
      <w:r>
        <w:rPr>
          <w:rFonts w:hint="eastAsia" w:ascii="Times New Roman" w:hAnsi="Times New Roman" w:eastAsia="楷体_GB2312" w:cs="Times New Roman"/>
          <w:sz w:val="28"/>
          <w:szCs w:val="28"/>
        </w:rPr>
        <w:t>本项目总预算为</w:t>
      </w:r>
      <w:r>
        <w:rPr>
          <w:rFonts w:hint="eastAsia" w:ascii="Times New Roman" w:hAnsi="Times New Roman" w:eastAsia="楷体_GB2312" w:cs="Times New Roman"/>
          <w:sz w:val="28"/>
          <w:szCs w:val="28"/>
          <w:u w:val="none"/>
        </w:rPr>
        <w:t>36.07</w:t>
      </w:r>
      <w:r>
        <w:rPr>
          <w:rFonts w:hint="eastAsia" w:ascii="Times New Roman" w:hAnsi="Times New Roman" w:eastAsia="楷体_GB2312" w:cs="Times New Roman"/>
          <w:sz w:val="28"/>
          <w:szCs w:val="28"/>
        </w:rPr>
        <w:t>万元</w:t>
      </w:r>
      <w:r>
        <w:rPr>
          <w:rFonts w:hint="eastAsia" w:eastAsia="楷体_GB2312"/>
          <w:sz w:val="28"/>
          <w:szCs w:val="28"/>
        </w:rPr>
        <w:t>。</w:t>
      </w:r>
    </w:p>
    <w:p w14:paraId="5E64CBC7">
      <w:pPr>
        <w:pStyle w:val="7"/>
        <w:rPr>
          <w:rFonts w:ascii="Times New Roman" w:hAnsi="Times New Roman"/>
        </w:rPr>
      </w:pPr>
      <w:r>
        <w:rPr>
          <w:rFonts w:ascii="Times New Roman" w:hAnsi="Times New Roman"/>
        </w:rPr>
        <w:t>服务期限</w:t>
      </w:r>
    </w:p>
    <w:p w14:paraId="4ED5D1B9">
      <w:pPr>
        <w:ind w:firstLine="560" w:firstLineChars="200"/>
        <w:jc w:val="left"/>
        <w:rPr>
          <w:rFonts w:hint="eastAsia" w:ascii="Times New Roman" w:hAnsi="Times New Roman" w:eastAsia="楷体_GB2312" w:cs="Times New Roman"/>
          <w:sz w:val="28"/>
          <w:szCs w:val="28"/>
        </w:rPr>
      </w:pPr>
      <w:r>
        <w:rPr>
          <w:rFonts w:hint="eastAsia" w:ascii="Times New Roman" w:hAnsi="Times New Roman" w:eastAsia="楷体_GB2312" w:cs="Times New Roman"/>
          <w:sz w:val="28"/>
          <w:szCs w:val="28"/>
          <w:lang w:val="en-US" w:eastAsia="zh-CN"/>
        </w:rPr>
        <w:t>自合同签订之日起</w:t>
      </w:r>
      <w:r>
        <w:rPr>
          <w:rFonts w:hint="eastAsia" w:ascii="Times New Roman" w:hAnsi="Times New Roman" w:eastAsia="楷体_GB2312" w:cs="Times New Roman"/>
          <w:sz w:val="28"/>
          <w:szCs w:val="28"/>
        </w:rPr>
        <w:t>至</w:t>
      </w:r>
      <w:r>
        <w:rPr>
          <w:rFonts w:hint="eastAsia" w:ascii="Times New Roman" w:hAnsi="Times New Roman" w:eastAsia="楷体_GB2312" w:cs="Times New Roman"/>
          <w:sz w:val="28"/>
          <w:szCs w:val="28"/>
          <w:lang w:val="en-US" w:eastAsia="zh-CN"/>
        </w:rPr>
        <w:t>2025年9</w:t>
      </w:r>
      <w:r>
        <w:rPr>
          <w:rFonts w:hint="eastAsia" w:ascii="Times New Roman" w:hAnsi="Times New Roman" w:eastAsia="楷体_GB2312" w:cs="Times New Roman"/>
          <w:sz w:val="28"/>
          <w:szCs w:val="28"/>
        </w:rPr>
        <w:t>月</w:t>
      </w:r>
      <w:r>
        <w:rPr>
          <w:rFonts w:hint="eastAsia" w:ascii="Times New Roman" w:hAnsi="Times New Roman" w:eastAsia="楷体_GB2312" w:cs="Times New Roman"/>
          <w:sz w:val="28"/>
          <w:szCs w:val="28"/>
          <w:lang w:eastAsia="zh-CN"/>
        </w:rPr>
        <w:t>，</w:t>
      </w:r>
      <w:r>
        <w:rPr>
          <w:rFonts w:hint="eastAsia" w:eastAsia="楷体_GB2312"/>
          <w:sz w:val="28"/>
          <w:szCs w:val="28"/>
        </w:rPr>
        <w:t>（具体以合同为准）</w:t>
      </w:r>
      <w:r>
        <w:rPr>
          <w:rFonts w:eastAsia="楷体_GB2312"/>
          <w:sz w:val="28"/>
          <w:szCs w:val="28"/>
        </w:rPr>
        <w:t>。</w:t>
      </w:r>
    </w:p>
    <w:p w14:paraId="6A68CD22">
      <w:pPr>
        <w:pStyle w:val="7"/>
        <w:rPr>
          <w:rFonts w:ascii="Times New Roman" w:hAnsi="Times New Roman"/>
        </w:rPr>
      </w:pPr>
      <w:r>
        <w:rPr>
          <w:rFonts w:ascii="Times New Roman" w:hAnsi="Times New Roman"/>
        </w:rPr>
        <w:t>服务内容</w:t>
      </w:r>
    </w:p>
    <w:p w14:paraId="212C029B">
      <w:pPr>
        <w:pStyle w:val="8"/>
        <w:rPr>
          <w:rFonts w:ascii="Times New Roman" w:hAnsi="Times New Roman"/>
        </w:rPr>
      </w:pPr>
      <w:r>
        <w:rPr>
          <w:rFonts w:hint="eastAsia" w:ascii="Times New Roman" w:hAnsi="Times New Roman"/>
        </w:rPr>
        <w:t>系统业务运营服务</w:t>
      </w:r>
    </w:p>
    <w:p w14:paraId="51DD1C0F">
      <w:pPr>
        <w:pStyle w:val="9"/>
        <w:rPr>
          <w:rFonts w:ascii="Times New Roman" w:hAnsi="Times New Roman"/>
        </w:rPr>
      </w:pPr>
      <w:r>
        <w:rPr>
          <w:rFonts w:hint="eastAsia" w:ascii="Times New Roman" w:hAnsi="Times New Roman"/>
        </w:rPr>
        <w:t>网络安全运营服务</w:t>
      </w:r>
    </w:p>
    <w:p w14:paraId="495716E5">
      <w:pPr>
        <w:ind w:firstLine="560" w:firstLineChars="200"/>
        <w:jc w:val="left"/>
        <w:rPr>
          <w:rFonts w:eastAsia="楷体_GB2312"/>
          <w:sz w:val="28"/>
          <w:szCs w:val="28"/>
        </w:rPr>
      </w:pPr>
      <w:r>
        <w:rPr>
          <w:rFonts w:hint="eastAsia" w:eastAsia="楷体_GB2312"/>
          <w:sz w:val="28"/>
          <w:szCs w:val="28"/>
        </w:rPr>
        <w:t>网络安全监控服务</w:t>
      </w:r>
    </w:p>
    <w:p w14:paraId="700A5211">
      <w:pPr>
        <w:ind w:firstLine="560" w:firstLineChars="200"/>
        <w:jc w:val="left"/>
        <w:rPr>
          <w:rFonts w:hint="eastAsia" w:eastAsia="楷体_GB2312"/>
          <w:sz w:val="28"/>
          <w:szCs w:val="28"/>
        </w:rPr>
      </w:pPr>
      <w:r>
        <w:rPr>
          <w:rFonts w:hint="eastAsia" w:eastAsia="楷体_GB2312"/>
          <w:sz w:val="28"/>
          <w:szCs w:val="28"/>
        </w:rPr>
        <w:t>（1）数据库审计服务</w:t>
      </w:r>
    </w:p>
    <w:p w14:paraId="602BA7DA">
      <w:pPr>
        <w:ind w:firstLine="560" w:firstLineChars="200"/>
        <w:jc w:val="left"/>
        <w:rPr>
          <w:rFonts w:eastAsia="楷体_GB2312"/>
          <w:sz w:val="28"/>
          <w:szCs w:val="28"/>
        </w:rPr>
      </w:pPr>
      <w:r>
        <w:rPr>
          <w:rFonts w:hint="eastAsia" w:eastAsia="楷体_GB2312"/>
          <w:sz w:val="28"/>
          <w:szCs w:val="28"/>
        </w:rPr>
        <w:t>针对目前主流的数据库的各种操作进行详细的、实时的记录，提供在数据库主机上安装的Agent代理，监控数据库活动。结合厅政务信息系统所用数据库情况，该服务需支持Oracle、SQL-Server、DB2、MySQL、人大金仓、达梦Redis等数据库，并以报表和数据库列表的形式呈现给用户，能够审计的内容包括：审计用户对数据库的登陆、注销；审计用户到数据库表的查询、插入、修改、删除、创建等操作；能够监控各类数据库的连接客户的操作；审计数据库返回值。</w:t>
      </w:r>
    </w:p>
    <w:p w14:paraId="3ACBC3E6">
      <w:pPr>
        <w:ind w:firstLine="560" w:firstLineChars="200"/>
        <w:jc w:val="left"/>
        <w:rPr>
          <w:rFonts w:hint="eastAsia" w:eastAsia="楷体_GB2312"/>
          <w:sz w:val="28"/>
          <w:szCs w:val="28"/>
        </w:rPr>
      </w:pPr>
      <w:r>
        <w:rPr>
          <w:rFonts w:hint="eastAsia" w:eastAsia="楷体_GB2312"/>
          <w:sz w:val="28"/>
          <w:szCs w:val="28"/>
        </w:rPr>
        <w:t>本次服务共计需对30个数据库实例（TData数据库每接入1台服务器主机为1个接入许可）提供审计服务，本次共需提供2套数据库审计服务组件，虚拟数据库审计服务基础包2套（含2个数据库实例许可）；虚拟数据库审计服务增量许可28套，每套含1个数据库实例许可。</w:t>
      </w:r>
    </w:p>
    <w:p w14:paraId="74798531">
      <w:pPr>
        <w:ind w:firstLine="560" w:firstLineChars="200"/>
        <w:jc w:val="left"/>
        <w:rPr>
          <w:rFonts w:hint="eastAsia" w:eastAsia="楷体_GB2312"/>
          <w:sz w:val="28"/>
          <w:szCs w:val="28"/>
        </w:rPr>
      </w:pPr>
      <w:r>
        <w:rPr>
          <w:rFonts w:hint="eastAsia" w:eastAsia="楷体_GB2312"/>
          <w:sz w:val="28"/>
          <w:szCs w:val="28"/>
        </w:rPr>
        <w:t>（</w:t>
      </w:r>
      <w:r>
        <w:rPr>
          <w:rFonts w:eastAsia="楷体_GB2312"/>
          <w:sz w:val="28"/>
          <w:szCs w:val="28"/>
        </w:rPr>
        <w:t>2</w:t>
      </w:r>
      <w:r>
        <w:rPr>
          <w:rFonts w:hint="eastAsia" w:eastAsia="楷体_GB2312"/>
          <w:sz w:val="28"/>
          <w:szCs w:val="28"/>
        </w:rPr>
        <w:t>）虚拟日志审计服务</w:t>
      </w:r>
    </w:p>
    <w:p w14:paraId="022EF50D">
      <w:pPr>
        <w:ind w:firstLine="560" w:firstLineChars="200"/>
        <w:jc w:val="left"/>
        <w:rPr>
          <w:rFonts w:hint="eastAsia" w:eastAsia="楷体_GB2312"/>
          <w:sz w:val="28"/>
          <w:szCs w:val="28"/>
        </w:rPr>
      </w:pPr>
      <w:r>
        <w:rPr>
          <w:rFonts w:hint="eastAsia" w:eastAsia="楷体_GB2312"/>
          <w:sz w:val="28"/>
          <w:szCs w:val="28"/>
        </w:rPr>
        <w:t>通过虚拟日志审计服务建立一个能够集中收集、管理、分析各种政务云上设备安全日志的安全审计管理中心，需具有日志数据采集、实时动态分析、安全存储管理、历史事件检索功能。</w:t>
      </w:r>
    </w:p>
    <w:p w14:paraId="45715C08">
      <w:pPr>
        <w:ind w:firstLine="560" w:firstLineChars="200"/>
        <w:jc w:val="left"/>
        <w:rPr>
          <w:rFonts w:eastAsia="楷体_GB2312"/>
          <w:sz w:val="28"/>
          <w:szCs w:val="28"/>
        </w:rPr>
      </w:pPr>
      <w:r>
        <w:rPr>
          <w:rFonts w:hint="eastAsia" w:eastAsia="楷体_GB2312"/>
          <w:sz w:val="28"/>
          <w:szCs w:val="28"/>
        </w:rPr>
        <w:t>本次服务需为省科技厅提供日志审计服务基础包2套（含10个IP接入许可），提供日志审计服务增量许可5套（每套10个IP接入许可，共50个IP接入），即一共需要70个IP许可。</w:t>
      </w:r>
    </w:p>
    <w:p w14:paraId="35908862">
      <w:pPr>
        <w:ind w:firstLine="560" w:firstLineChars="200"/>
        <w:jc w:val="left"/>
        <w:rPr>
          <w:rFonts w:eastAsia="楷体_GB2312"/>
          <w:sz w:val="28"/>
          <w:szCs w:val="28"/>
        </w:rPr>
      </w:pPr>
    </w:p>
    <w:p w14:paraId="7AB27411">
      <w:pPr>
        <w:ind w:firstLine="560" w:firstLineChars="200"/>
        <w:jc w:val="left"/>
        <w:rPr>
          <w:rFonts w:hint="eastAsia" w:eastAsia="楷体_GB2312"/>
          <w:sz w:val="28"/>
          <w:szCs w:val="28"/>
        </w:rPr>
      </w:pPr>
      <w:r>
        <w:rPr>
          <w:rFonts w:hint="eastAsia" w:eastAsia="楷体_GB2312"/>
          <w:sz w:val="28"/>
          <w:szCs w:val="28"/>
        </w:rPr>
        <w:t>（</w:t>
      </w:r>
      <w:r>
        <w:rPr>
          <w:rFonts w:eastAsia="楷体_GB2312"/>
          <w:sz w:val="28"/>
          <w:szCs w:val="28"/>
        </w:rPr>
        <w:t>3</w:t>
      </w:r>
      <w:r>
        <w:rPr>
          <w:rFonts w:hint="eastAsia" w:eastAsia="楷体_GB2312"/>
          <w:sz w:val="28"/>
          <w:szCs w:val="28"/>
        </w:rPr>
        <w:t>）WAF防护服务</w:t>
      </w:r>
    </w:p>
    <w:p w14:paraId="1CC3C481">
      <w:pPr>
        <w:ind w:firstLine="560" w:firstLineChars="200"/>
        <w:jc w:val="left"/>
        <w:rPr>
          <w:rFonts w:eastAsia="楷体_GB2312"/>
          <w:sz w:val="28"/>
          <w:szCs w:val="28"/>
        </w:rPr>
      </w:pPr>
      <w:r>
        <w:rPr>
          <w:rFonts w:hint="eastAsia" w:eastAsia="楷体_GB2312"/>
          <w:sz w:val="28"/>
          <w:szCs w:val="28"/>
        </w:rPr>
        <w:t>通过对在互联网开放服务的系统提供WAF防护服务，实时阻断和告警应用安全层面的攻击，防范互联网层面的应用安全攻击，降低应用安全风险。具体为：</w:t>
      </w:r>
    </w:p>
    <w:p w14:paraId="4286560B">
      <w:pPr>
        <w:ind w:firstLine="560" w:firstLineChars="200"/>
        <w:jc w:val="left"/>
        <w:rPr>
          <w:rFonts w:hint="eastAsia" w:eastAsia="楷体_GB2312"/>
          <w:sz w:val="28"/>
          <w:szCs w:val="28"/>
        </w:rPr>
      </w:pPr>
      <w:r>
        <w:rPr>
          <w:rFonts w:hint="eastAsia" w:eastAsia="楷体_GB2312"/>
          <w:sz w:val="28"/>
          <w:szCs w:val="28"/>
        </w:rPr>
        <w:t>1）省政务云名美机房1套WAF 服务基础包防护（含10Mbps应用安全防护能力）。另提供WAF服务增量许可，以10Mbps应用安全防护能力许可为单位，共需290Mbps。一共300 Mbps。</w:t>
      </w:r>
    </w:p>
    <w:p w14:paraId="53FB4A44">
      <w:pPr>
        <w:ind w:firstLine="560" w:firstLineChars="200"/>
        <w:jc w:val="left"/>
        <w:rPr>
          <w:rFonts w:eastAsia="楷体_GB2312"/>
          <w:sz w:val="28"/>
          <w:szCs w:val="28"/>
        </w:rPr>
      </w:pPr>
      <w:r>
        <w:rPr>
          <w:rFonts w:hint="eastAsia" w:eastAsia="楷体_GB2312"/>
          <w:sz w:val="28"/>
          <w:szCs w:val="28"/>
        </w:rPr>
        <w:t>2）省政务云东涌机房1套WAF 服务基础包防护（含10Mbps应用安全防护能力）。另提供WAF服务增量许可，以10Mbps应用安全防护能力许可为单位，共需190Mbps。一共200 Mbps。</w:t>
      </w:r>
    </w:p>
    <w:p w14:paraId="52B6FB9F">
      <w:pPr>
        <w:ind w:firstLine="560" w:firstLineChars="200"/>
        <w:jc w:val="left"/>
        <w:rPr>
          <w:rFonts w:eastAsia="楷体_GB2312"/>
          <w:sz w:val="28"/>
          <w:szCs w:val="28"/>
        </w:rPr>
      </w:pPr>
      <w:r>
        <w:rPr>
          <w:rFonts w:hint="eastAsia" w:eastAsia="楷体_GB2312"/>
          <w:sz w:val="28"/>
          <w:szCs w:val="28"/>
        </w:rPr>
        <w:t>（4）Web监测服务</w:t>
      </w:r>
    </w:p>
    <w:p w14:paraId="1B9AF07F">
      <w:pPr>
        <w:ind w:firstLine="560" w:firstLineChars="200"/>
        <w:jc w:val="left"/>
        <w:rPr>
          <w:rFonts w:hint="eastAsia" w:eastAsia="楷体_GB2312"/>
          <w:sz w:val="28"/>
          <w:szCs w:val="28"/>
        </w:rPr>
      </w:pPr>
      <w:r>
        <w:rPr>
          <w:rFonts w:hint="eastAsia" w:eastAsia="楷体_GB2312"/>
          <w:sz w:val="28"/>
          <w:szCs w:val="28"/>
        </w:rPr>
        <w:t>通过在线WEB网站安全监测服务，为对公众公开的网站系统提供挂马、篡改、敏感词、暗链和网站可用性高监测等的实时监测服务，避免网站被黑客攻击而造成的社会影响。共提供7个二级域名的网站监测服务。</w:t>
      </w:r>
    </w:p>
    <w:p w14:paraId="6E24F16C">
      <w:pPr>
        <w:ind w:firstLine="560" w:firstLineChars="200"/>
        <w:jc w:val="left"/>
        <w:rPr>
          <w:rFonts w:eastAsia="楷体_GB2312"/>
          <w:sz w:val="28"/>
          <w:szCs w:val="28"/>
        </w:rPr>
      </w:pPr>
      <w:r>
        <w:rPr>
          <w:rFonts w:hint="eastAsia" w:eastAsia="楷体_GB2312"/>
          <w:sz w:val="28"/>
          <w:szCs w:val="28"/>
        </w:rPr>
        <w:t>（</w:t>
      </w:r>
      <w:r>
        <w:rPr>
          <w:rFonts w:eastAsia="楷体_GB2312"/>
          <w:sz w:val="28"/>
          <w:szCs w:val="28"/>
        </w:rPr>
        <w:t>5</w:t>
      </w:r>
      <w:r>
        <w:rPr>
          <w:rFonts w:hint="eastAsia" w:eastAsia="楷体_GB2312"/>
          <w:sz w:val="28"/>
          <w:szCs w:val="28"/>
        </w:rPr>
        <w:t>）网络安全应急响应服务</w:t>
      </w:r>
    </w:p>
    <w:p w14:paraId="21943C79">
      <w:pPr>
        <w:ind w:firstLine="560" w:firstLineChars="200"/>
        <w:jc w:val="left"/>
        <w:rPr>
          <w:rFonts w:hint="eastAsia" w:eastAsia="楷体_GB2312"/>
          <w:sz w:val="28"/>
          <w:szCs w:val="28"/>
        </w:rPr>
      </w:pPr>
      <w:r>
        <w:rPr>
          <w:rFonts w:hint="eastAsia" w:eastAsia="楷体_GB2312"/>
          <w:sz w:val="28"/>
          <w:szCs w:val="28"/>
        </w:rPr>
        <w:t>应急响应主要针对全网突发的重大安全事件提供应急支持服务。主要工作内容包含但不限于：制定安全应急方案、工作要求及相关制度；在事前为应急响应做好预备性的工作；在安全事件发生后，按照买方要求及时对异常的系统、网络进行分析，确定了安全事件的各项技术细节，保留相关证据并制定进一步的响应策略；及时采取行动限制安全事件扩散和影响的范围，限制潜在的损失与破坏，保障系统正常运行；事后要通过对有关安全事件或异常行为的分析结果，找出根源，明确相应的补救措施并协助完成彻底清除；协助恢复安全事件所涉及的系统，并还原到正常状态，使业务能够正常运行。</w:t>
      </w:r>
    </w:p>
    <w:p w14:paraId="71DE82A6">
      <w:pPr>
        <w:ind w:firstLine="560" w:firstLineChars="200"/>
        <w:jc w:val="left"/>
        <w:rPr>
          <w:rFonts w:eastAsia="楷体_GB2312"/>
          <w:sz w:val="28"/>
          <w:szCs w:val="28"/>
        </w:rPr>
      </w:pPr>
      <w:r>
        <w:rPr>
          <w:rFonts w:hint="eastAsia" w:eastAsia="楷体_GB2312"/>
          <w:sz w:val="28"/>
          <w:szCs w:val="28"/>
        </w:rPr>
        <w:t>为7个系统提供1次的应急响应服务</w:t>
      </w:r>
      <w:r>
        <w:rPr>
          <w:rFonts w:eastAsia="楷体_GB2312"/>
          <w:sz w:val="28"/>
          <w:szCs w:val="28"/>
        </w:rPr>
        <w:t>。</w:t>
      </w:r>
    </w:p>
    <w:p w14:paraId="7146310F">
      <w:pPr>
        <w:ind w:firstLine="560" w:firstLineChars="200"/>
        <w:jc w:val="left"/>
        <w:rPr>
          <w:rFonts w:eastAsia="楷体_GB2312"/>
          <w:sz w:val="28"/>
          <w:szCs w:val="28"/>
        </w:rPr>
      </w:pPr>
      <w:r>
        <w:rPr>
          <w:rFonts w:hint="eastAsia" w:eastAsia="楷体_GB2312"/>
          <w:sz w:val="28"/>
          <w:szCs w:val="28"/>
        </w:rPr>
        <w:t>（</w:t>
      </w:r>
      <w:r>
        <w:rPr>
          <w:rFonts w:eastAsia="楷体_GB2312"/>
          <w:sz w:val="28"/>
          <w:szCs w:val="28"/>
        </w:rPr>
        <w:t>6</w:t>
      </w:r>
      <w:r>
        <w:rPr>
          <w:rFonts w:hint="eastAsia" w:eastAsia="楷体_GB2312"/>
          <w:sz w:val="28"/>
          <w:szCs w:val="28"/>
        </w:rPr>
        <w:t>）安全重保值守服务</w:t>
      </w:r>
    </w:p>
    <w:p w14:paraId="6020AC10">
      <w:pPr>
        <w:ind w:firstLine="560" w:firstLineChars="200"/>
        <w:jc w:val="left"/>
        <w:rPr>
          <w:rFonts w:eastAsia="楷体_GB2312"/>
          <w:sz w:val="28"/>
          <w:szCs w:val="28"/>
        </w:rPr>
      </w:pPr>
      <w:r>
        <w:rPr>
          <w:rFonts w:hint="eastAsia" w:eastAsia="楷体_GB2312"/>
          <w:sz w:val="28"/>
          <w:szCs w:val="28"/>
        </w:rPr>
        <w:t>为省科技厅在重大节假日和重大活动前，提前做好各类应急防范措施，保障期间提供现场人员值守，对可能发现的安全事件进行监测处置，积极做好安全保障支撑工作，有效应对重大节假日和重大活动的网络安全威胁。</w:t>
      </w:r>
    </w:p>
    <w:p w14:paraId="0C9AD89D">
      <w:pPr>
        <w:ind w:firstLine="560" w:firstLineChars="200"/>
        <w:jc w:val="left"/>
        <w:rPr>
          <w:rFonts w:eastAsia="楷体_GB2312"/>
          <w:sz w:val="28"/>
          <w:szCs w:val="28"/>
        </w:rPr>
      </w:pPr>
      <w:r>
        <w:rPr>
          <w:rFonts w:hint="eastAsia" w:eastAsia="楷体_GB2312"/>
          <w:sz w:val="28"/>
          <w:szCs w:val="28"/>
        </w:rPr>
        <w:t>项目周期内进行2次安全重保服务，根据实际需求，在指定重要时期提供安全专家重保服务，并且在重保期间，提供7*24小时驻场保障服务。通过现场值守、应急响应、突发事件处理等方式，为省科技厅提供重大事件期间重要信息系统安全技术服务，确保在重大时期间能够及时应对各类信息安全突发事件，保障网络与信息系统安全稳定运行，做好重要时期的信息安全保障工作。</w:t>
      </w:r>
    </w:p>
    <w:p w14:paraId="1F42757F">
      <w:pPr>
        <w:ind w:firstLine="560" w:firstLineChars="200"/>
        <w:jc w:val="left"/>
        <w:rPr>
          <w:rFonts w:hint="eastAsia" w:eastAsia="楷体_GB2312"/>
          <w:sz w:val="28"/>
          <w:szCs w:val="28"/>
        </w:rPr>
      </w:pPr>
    </w:p>
    <w:p w14:paraId="2341F4E0">
      <w:pPr>
        <w:pStyle w:val="7"/>
        <w:rPr>
          <w:rFonts w:ascii="Times New Roman" w:hAnsi="Times New Roman"/>
        </w:rPr>
      </w:pPr>
      <w:r>
        <w:rPr>
          <w:rFonts w:ascii="Times New Roman" w:hAnsi="Times New Roman"/>
        </w:rPr>
        <w:t>服务要求</w:t>
      </w:r>
    </w:p>
    <w:p w14:paraId="6B141BB9">
      <w:pPr>
        <w:pStyle w:val="8"/>
        <w:rPr>
          <w:rFonts w:ascii="Times New Roman" w:hAnsi="Times New Roman"/>
        </w:rPr>
      </w:pPr>
      <w:r>
        <w:rPr>
          <w:rFonts w:ascii="Times New Roman" w:hAnsi="Times New Roman"/>
        </w:rPr>
        <w:t>技术要求</w:t>
      </w:r>
    </w:p>
    <w:p w14:paraId="2542773A">
      <w:pPr>
        <w:pStyle w:val="9"/>
        <w:rPr>
          <w:rFonts w:ascii="Times New Roman" w:hAnsi="Times New Roman"/>
        </w:rPr>
      </w:pPr>
      <w:r>
        <w:rPr>
          <w:rFonts w:ascii="Times New Roman" w:hAnsi="Times New Roman"/>
        </w:rPr>
        <w:t>总体技术要求</w:t>
      </w:r>
    </w:p>
    <w:p w14:paraId="15A62BD8">
      <w:pPr>
        <w:ind w:firstLine="560" w:firstLineChars="200"/>
        <w:jc w:val="left"/>
        <w:rPr>
          <w:rFonts w:hint="eastAsia" w:eastAsia="楷体_GB2312"/>
          <w:sz w:val="28"/>
          <w:szCs w:val="28"/>
        </w:rPr>
      </w:pPr>
      <w:r>
        <w:rPr>
          <w:rFonts w:hint="eastAsia" w:eastAsia="楷体_GB2312"/>
          <w:sz w:val="28"/>
          <w:szCs w:val="28"/>
        </w:rPr>
        <w:t>统一标准：提供统一的可靠性、安全性、标准化运行维护服务，保障应用系统和运行环境运行的可靠、安全、标准、稳定运行。</w:t>
      </w:r>
    </w:p>
    <w:p w14:paraId="0C04E4E8">
      <w:pPr>
        <w:ind w:firstLine="560" w:firstLineChars="200"/>
        <w:jc w:val="left"/>
        <w:rPr>
          <w:rFonts w:hint="eastAsia" w:eastAsia="楷体_GB2312"/>
          <w:sz w:val="28"/>
          <w:szCs w:val="28"/>
        </w:rPr>
      </w:pPr>
      <w:r>
        <w:rPr>
          <w:rFonts w:hint="eastAsia" w:eastAsia="楷体_GB2312"/>
          <w:sz w:val="28"/>
          <w:szCs w:val="28"/>
        </w:rPr>
        <w:t>安全高效：提供和系统安全保护等级配套的网络安全运营服务，确保信息安全，高效响应，实施SLA管理。</w:t>
      </w:r>
    </w:p>
    <w:p w14:paraId="57A1DBD7">
      <w:pPr>
        <w:pStyle w:val="9"/>
        <w:rPr>
          <w:rFonts w:ascii="Times New Roman" w:hAnsi="Times New Roman"/>
        </w:rPr>
      </w:pPr>
      <w:r>
        <w:rPr>
          <w:rFonts w:hint="eastAsia" w:ascii="Times New Roman" w:hAnsi="Times New Roman"/>
        </w:rPr>
        <w:t>指标</w:t>
      </w:r>
      <w:r>
        <w:rPr>
          <w:rFonts w:ascii="Times New Roman" w:hAnsi="Times New Roman"/>
        </w:rPr>
        <w:t>要求</w:t>
      </w:r>
    </w:p>
    <w:p w14:paraId="29A24CF6">
      <w:pPr>
        <w:ind w:firstLine="560" w:firstLineChars="200"/>
        <w:jc w:val="left"/>
        <w:rPr>
          <w:rFonts w:hint="eastAsia" w:eastAsia="楷体_GB2312"/>
          <w:sz w:val="28"/>
          <w:szCs w:val="28"/>
        </w:rPr>
      </w:pPr>
      <w:r>
        <w:rPr>
          <w:rFonts w:hint="eastAsia" w:eastAsia="楷体_GB2312"/>
          <w:sz w:val="28"/>
          <w:szCs w:val="28"/>
        </w:rPr>
        <w:t>1.数据库审计服务：组件正常运转，数据库审计日志保存至少180天。</w:t>
      </w:r>
    </w:p>
    <w:p w14:paraId="71A89E53">
      <w:pPr>
        <w:ind w:firstLine="560" w:firstLineChars="200"/>
        <w:jc w:val="left"/>
        <w:rPr>
          <w:rFonts w:eastAsia="楷体_GB2312"/>
          <w:sz w:val="28"/>
          <w:szCs w:val="28"/>
        </w:rPr>
      </w:pPr>
      <w:r>
        <w:rPr>
          <w:rFonts w:eastAsia="楷体_GB2312"/>
          <w:sz w:val="28"/>
          <w:szCs w:val="28"/>
        </w:rPr>
        <w:t>2</w:t>
      </w:r>
      <w:r>
        <w:rPr>
          <w:rFonts w:hint="eastAsia" w:eastAsia="楷体_GB2312"/>
          <w:sz w:val="28"/>
          <w:szCs w:val="28"/>
        </w:rPr>
        <w:t>.虚拟日志审计服务：组件正常运转，日志审计系统采集日志保存至少180天。</w:t>
      </w:r>
    </w:p>
    <w:p w14:paraId="4B92EB5C">
      <w:pPr>
        <w:ind w:firstLine="560" w:firstLineChars="200"/>
        <w:jc w:val="left"/>
        <w:rPr>
          <w:rFonts w:eastAsia="楷体_GB2312"/>
          <w:sz w:val="28"/>
          <w:szCs w:val="28"/>
        </w:rPr>
      </w:pPr>
      <w:r>
        <w:rPr>
          <w:rFonts w:hint="eastAsia" w:eastAsia="楷体_GB2312"/>
          <w:sz w:val="28"/>
          <w:szCs w:val="28"/>
        </w:rPr>
        <w:t>3</w:t>
      </w:r>
      <w:r>
        <w:rPr>
          <w:rFonts w:eastAsia="楷体_GB2312"/>
          <w:sz w:val="28"/>
          <w:szCs w:val="28"/>
        </w:rPr>
        <w:t>.</w:t>
      </w:r>
      <w:r>
        <w:rPr>
          <w:rFonts w:hint="eastAsia"/>
        </w:rPr>
        <w:t xml:space="preserve"> </w:t>
      </w:r>
      <w:r>
        <w:rPr>
          <w:rFonts w:hint="eastAsia" w:eastAsia="楷体_GB2312"/>
          <w:sz w:val="28"/>
          <w:szCs w:val="28"/>
        </w:rPr>
        <w:t>WAF防护服务：系统正常运转，服务期内故障时间≤60分钟；WAF服务提供的应用安全防护能力指标符合要求（名美机房的300 Mbps，东涌机房的200 Mbps）。</w:t>
      </w:r>
    </w:p>
    <w:p w14:paraId="2AA06ABF">
      <w:pPr>
        <w:ind w:firstLine="560" w:firstLineChars="200"/>
        <w:jc w:val="left"/>
        <w:rPr>
          <w:rFonts w:hint="eastAsia" w:eastAsia="楷体_GB2312"/>
          <w:sz w:val="28"/>
          <w:szCs w:val="28"/>
        </w:rPr>
      </w:pPr>
      <w:r>
        <w:rPr>
          <w:rFonts w:hint="eastAsia" w:eastAsia="楷体_GB2312"/>
          <w:sz w:val="28"/>
          <w:szCs w:val="28"/>
        </w:rPr>
        <w:t>4</w:t>
      </w:r>
      <w:r>
        <w:rPr>
          <w:rFonts w:eastAsia="楷体_GB2312"/>
          <w:sz w:val="28"/>
          <w:szCs w:val="28"/>
        </w:rPr>
        <w:t>.</w:t>
      </w:r>
      <w:r>
        <w:rPr>
          <w:rFonts w:hint="eastAsia"/>
        </w:rPr>
        <w:t xml:space="preserve"> </w:t>
      </w:r>
      <w:r>
        <w:rPr>
          <w:rFonts w:hint="eastAsia" w:eastAsia="楷体_GB2312"/>
          <w:sz w:val="28"/>
          <w:szCs w:val="28"/>
        </w:rPr>
        <w:t>Web监测服务：发现网站黑链、违规内容、网站挂马行为通知各信息系统负责人≤20分钟</w:t>
      </w:r>
      <w:r>
        <w:rPr>
          <w:rFonts w:hint="eastAsia"/>
        </w:rPr>
        <w:t>。</w:t>
      </w:r>
    </w:p>
    <w:p w14:paraId="59566FCD">
      <w:pPr>
        <w:ind w:firstLine="560" w:firstLineChars="200"/>
        <w:jc w:val="left"/>
        <w:rPr>
          <w:rFonts w:hint="eastAsia" w:eastAsia="楷体_GB2312"/>
          <w:sz w:val="28"/>
          <w:szCs w:val="28"/>
        </w:rPr>
      </w:pPr>
      <w:r>
        <w:rPr>
          <w:rFonts w:hint="eastAsia" w:eastAsia="楷体_GB2312"/>
          <w:sz w:val="28"/>
          <w:szCs w:val="28"/>
        </w:rPr>
        <w:t>5</w:t>
      </w:r>
      <w:r>
        <w:rPr>
          <w:rFonts w:eastAsia="楷体_GB2312"/>
          <w:sz w:val="28"/>
          <w:szCs w:val="28"/>
        </w:rPr>
        <w:t>.</w:t>
      </w:r>
      <w:r>
        <w:rPr>
          <w:rFonts w:hint="eastAsia"/>
        </w:rPr>
        <w:t xml:space="preserve"> </w:t>
      </w:r>
      <w:r>
        <w:rPr>
          <w:rFonts w:hint="eastAsia" w:eastAsia="楷体_GB2312"/>
          <w:sz w:val="28"/>
          <w:szCs w:val="28"/>
        </w:rPr>
        <w:t>网络安全应急响应服务：网络安全应急支持服务平均响应时间≤10分钟。</w:t>
      </w:r>
    </w:p>
    <w:p w14:paraId="30956D57">
      <w:pPr>
        <w:ind w:firstLine="560" w:firstLineChars="200"/>
        <w:jc w:val="left"/>
        <w:rPr>
          <w:rFonts w:eastAsia="楷体_GB2312"/>
          <w:sz w:val="28"/>
          <w:szCs w:val="28"/>
        </w:rPr>
      </w:pPr>
      <w:r>
        <w:rPr>
          <w:rFonts w:hint="eastAsia" w:eastAsia="楷体_GB2312"/>
          <w:sz w:val="28"/>
          <w:szCs w:val="28"/>
        </w:rPr>
        <w:t>6</w:t>
      </w:r>
      <w:r>
        <w:rPr>
          <w:rFonts w:eastAsia="楷体_GB2312"/>
          <w:sz w:val="28"/>
          <w:szCs w:val="28"/>
        </w:rPr>
        <w:t>.</w:t>
      </w:r>
      <w:r>
        <w:rPr>
          <w:rFonts w:hint="eastAsia"/>
        </w:rPr>
        <w:t xml:space="preserve"> </w:t>
      </w:r>
      <w:r>
        <w:rPr>
          <w:rFonts w:hint="eastAsia" w:eastAsia="楷体_GB2312"/>
          <w:sz w:val="28"/>
          <w:szCs w:val="28"/>
        </w:rPr>
        <w:t xml:space="preserve">安全重保值守服务：重保期间7*24小时网络安全值守，平均响应时间≤10分钟；应急处置时间≤1天。 </w:t>
      </w:r>
    </w:p>
    <w:p w14:paraId="5243C7F1">
      <w:pPr>
        <w:jc w:val="left"/>
        <w:rPr>
          <w:rFonts w:hint="eastAsia" w:eastAsia="楷体_GB2312"/>
          <w:sz w:val="28"/>
          <w:szCs w:val="28"/>
        </w:rPr>
      </w:pPr>
    </w:p>
    <w:p w14:paraId="684EF999">
      <w:pPr>
        <w:pStyle w:val="8"/>
        <w:rPr>
          <w:rFonts w:ascii="Times New Roman" w:hAnsi="Times New Roman"/>
        </w:rPr>
      </w:pPr>
      <w:r>
        <w:rPr>
          <w:rFonts w:ascii="Times New Roman" w:hAnsi="Times New Roman"/>
        </w:rPr>
        <w:t>管理要求</w:t>
      </w:r>
    </w:p>
    <w:p w14:paraId="32797AEB">
      <w:pPr>
        <w:pStyle w:val="9"/>
        <w:rPr>
          <w:rFonts w:ascii="Times New Roman" w:hAnsi="Times New Roman"/>
        </w:rPr>
      </w:pPr>
      <w:r>
        <w:rPr>
          <w:rFonts w:ascii="Times New Roman" w:hAnsi="Times New Roman"/>
        </w:rPr>
        <w:t>服务人员</w:t>
      </w:r>
    </w:p>
    <w:p w14:paraId="1694BC07">
      <w:pPr>
        <w:ind w:firstLine="560" w:firstLineChars="200"/>
        <w:jc w:val="left"/>
        <w:rPr>
          <w:rFonts w:eastAsia="楷体_GB2312"/>
          <w:sz w:val="28"/>
          <w:szCs w:val="28"/>
        </w:rPr>
      </w:pPr>
      <w:r>
        <w:rPr>
          <w:rFonts w:eastAsia="楷体_GB2312"/>
          <w:sz w:val="28"/>
          <w:szCs w:val="28"/>
        </w:rPr>
        <w:t>投标人须书面承诺，如在项目实际执行过程中发生项目经理不能按采购文件要求胜任相关工作的，采购人有权要求更换项目经理，投标人必须在两周内调整为符合采购文件要求且能胜任相关工作的项目经理并到位开展工作，否则采购人有权终止合同并报相关管理部门进行处理。</w:t>
      </w:r>
    </w:p>
    <w:p w14:paraId="009DC5FA">
      <w:pPr>
        <w:ind w:firstLine="560" w:firstLineChars="200"/>
        <w:jc w:val="left"/>
        <w:rPr>
          <w:rFonts w:eastAsia="楷体_GB2312"/>
          <w:sz w:val="28"/>
          <w:szCs w:val="28"/>
        </w:rPr>
      </w:pPr>
      <w:r>
        <w:rPr>
          <w:rFonts w:eastAsia="楷体_GB2312"/>
          <w:sz w:val="28"/>
          <w:szCs w:val="28"/>
        </w:rPr>
        <w:t>投标人承诺的项目经理和开发实施的主要人员未经用户同意不得调整；投标人如中途更换项目经理和主要开发技术人员，应征得用户同意，否则采购人有权终止合同。</w:t>
      </w:r>
    </w:p>
    <w:p w14:paraId="02ADCDA5">
      <w:pPr>
        <w:ind w:firstLine="560" w:firstLineChars="200"/>
        <w:jc w:val="left"/>
        <w:rPr>
          <w:rFonts w:eastAsia="楷体_GB2312"/>
          <w:sz w:val="28"/>
          <w:szCs w:val="28"/>
        </w:rPr>
      </w:pPr>
      <w:r>
        <w:rPr>
          <w:rFonts w:eastAsia="楷体_GB2312"/>
          <w:sz w:val="28"/>
          <w:szCs w:val="28"/>
        </w:rPr>
        <w:t>服务商应指派固定的团队为本项目提供专业服务，服务团队成员不得少于</w:t>
      </w:r>
      <w:r>
        <w:rPr>
          <w:rFonts w:eastAsia="楷体_GB2312"/>
          <w:sz w:val="28"/>
          <w:szCs w:val="28"/>
          <w:u w:val="single"/>
        </w:rPr>
        <w:t>2</w:t>
      </w:r>
      <w:r>
        <w:rPr>
          <w:rFonts w:eastAsia="楷体_GB2312"/>
          <w:sz w:val="28"/>
          <w:szCs w:val="28"/>
        </w:rPr>
        <w:t>人。项目经理应具备</w:t>
      </w:r>
      <w:r>
        <w:rPr>
          <w:rFonts w:eastAsia="楷体_GB2312"/>
          <w:sz w:val="28"/>
          <w:szCs w:val="28"/>
          <w:u w:val="single"/>
        </w:rPr>
        <w:t>3</w:t>
      </w:r>
      <w:r>
        <w:rPr>
          <w:rFonts w:eastAsia="楷体_GB2312"/>
          <w:sz w:val="28"/>
          <w:szCs w:val="28"/>
        </w:rPr>
        <w:t>年以上</w:t>
      </w:r>
      <w:r>
        <w:rPr>
          <w:rFonts w:hint="eastAsia" w:eastAsia="楷体_GB2312"/>
          <w:sz w:val="28"/>
          <w:szCs w:val="28"/>
          <w:u w:val="single"/>
        </w:rPr>
        <w:t>项目管理</w:t>
      </w:r>
      <w:r>
        <w:rPr>
          <w:rFonts w:eastAsia="楷体_GB2312"/>
          <w:sz w:val="28"/>
          <w:szCs w:val="28"/>
        </w:rPr>
        <w:t>经验。</w:t>
      </w:r>
    </w:p>
    <w:p w14:paraId="6B7379F9">
      <w:pPr>
        <w:ind w:firstLine="560" w:firstLineChars="200"/>
        <w:jc w:val="left"/>
        <w:rPr>
          <w:rFonts w:hint="eastAsia" w:eastAsia="楷体_GB2312"/>
          <w:sz w:val="28"/>
          <w:szCs w:val="28"/>
        </w:rPr>
      </w:pPr>
      <w:r>
        <w:rPr>
          <w:rFonts w:eastAsia="楷体_GB2312"/>
          <w:sz w:val="28"/>
          <w:szCs w:val="28"/>
        </w:rPr>
        <w:t>如须调整服务团队成员，须书面向采购人提出申请，说明申请理由，经采购人书面同意方可调整团队人员，调入人员的资历和从业经验不低于调出人员，否则视为违约行为，采购人有权终止服务合同。</w:t>
      </w:r>
    </w:p>
    <w:p w14:paraId="08D828C0">
      <w:pPr>
        <w:pStyle w:val="9"/>
        <w:rPr>
          <w:rFonts w:hint="eastAsia" w:ascii="Times New Roman" w:hAnsi="Times New Roman"/>
        </w:rPr>
      </w:pPr>
      <w:r>
        <w:rPr>
          <w:rFonts w:ascii="Times New Roman" w:hAnsi="Times New Roman"/>
        </w:rPr>
        <w:t>进度要求</w:t>
      </w:r>
    </w:p>
    <w:p w14:paraId="6EC16468">
      <w:pPr>
        <w:ind w:firstLine="560" w:firstLineChars="200"/>
        <w:jc w:val="left"/>
        <w:rPr>
          <w:rFonts w:hint="eastAsia" w:eastAsia="楷体_GB2312"/>
          <w:sz w:val="28"/>
          <w:szCs w:val="28"/>
        </w:rPr>
      </w:pPr>
      <w:r>
        <w:rPr>
          <w:rFonts w:hint="eastAsia" w:ascii="楷体_GB2312" w:hAnsi="楷体_GB2312" w:eastAsia="楷体_GB2312" w:cs="楷体_GB2312"/>
          <w:sz w:val="28"/>
          <w:szCs w:val="28"/>
          <w:lang w:eastAsia="zh-Hans"/>
        </w:rPr>
        <w:t>项目服务期限为</w:t>
      </w:r>
      <w:r>
        <w:rPr>
          <w:rFonts w:hint="eastAsia" w:ascii="楷体_GB2312" w:hAnsi="楷体_GB2312" w:eastAsia="楷体_GB2312" w:cs="楷体_GB2312"/>
          <w:sz w:val="28"/>
          <w:szCs w:val="28"/>
          <w:lang w:val="en-US" w:eastAsia="zh-Hans"/>
        </w:rPr>
        <w:t>自合同签订之日起至2025年</w:t>
      </w:r>
      <w:r>
        <w:rPr>
          <w:rFonts w:hint="eastAsia" w:ascii="楷体_GB2312" w:hAnsi="楷体_GB2312" w:eastAsia="楷体_GB2312" w:cs="楷体_GB2312"/>
          <w:sz w:val="28"/>
          <w:szCs w:val="28"/>
          <w:lang w:val="en-US" w:eastAsia="zh-CN"/>
        </w:rPr>
        <w:t>9</w:t>
      </w:r>
      <w:r>
        <w:rPr>
          <w:rFonts w:hint="eastAsia" w:ascii="楷体_GB2312" w:hAnsi="楷体_GB2312" w:eastAsia="楷体_GB2312" w:cs="楷体_GB2312"/>
          <w:sz w:val="28"/>
          <w:szCs w:val="28"/>
          <w:lang w:val="en-US" w:eastAsia="zh-Hans"/>
        </w:rPr>
        <w:t>月</w:t>
      </w:r>
      <w:r>
        <w:rPr>
          <w:rFonts w:hint="eastAsia" w:ascii="楷体_GB2312" w:hAnsi="楷体_GB2312" w:eastAsia="楷体_GB2312" w:cs="楷体_GB2312"/>
          <w:sz w:val="28"/>
          <w:szCs w:val="28"/>
          <w:lang w:eastAsia="zh-Hans"/>
        </w:rPr>
        <w:t>，具体以合同为准</w:t>
      </w:r>
      <w:r>
        <w:rPr>
          <w:rFonts w:hint="eastAsia" w:ascii="楷体_GB2312" w:hAnsi="楷体_GB2312" w:eastAsia="楷体_GB2312" w:cs="楷体_GB2312"/>
          <w:sz w:val="28"/>
          <w:szCs w:val="28"/>
          <w:lang w:val="en-US" w:eastAsia="zh-Hans"/>
        </w:rPr>
        <w:t>。</w:t>
      </w:r>
    </w:p>
    <w:p w14:paraId="5548477F">
      <w:pPr>
        <w:pStyle w:val="9"/>
        <w:rPr>
          <w:rFonts w:ascii="Times New Roman" w:hAnsi="Times New Roman"/>
        </w:rPr>
      </w:pPr>
      <w:r>
        <w:rPr>
          <w:rFonts w:ascii="Times New Roman" w:hAnsi="Times New Roman"/>
        </w:rPr>
        <w:t>组织实施要求</w:t>
      </w:r>
    </w:p>
    <w:p w14:paraId="51D4DAF7">
      <w:pPr>
        <w:ind w:firstLine="560" w:firstLineChars="200"/>
        <w:jc w:val="left"/>
        <w:rPr>
          <w:rFonts w:hint="eastAsia" w:eastAsia="楷体_GB2312"/>
          <w:sz w:val="28"/>
          <w:szCs w:val="28"/>
        </w:rPr>
      </w:pPr>
      <w:r>
        <w:rPr>
          <w:rFonts w:eastAsia="楷体_GB2312"/>
          <w:sz w:val="28"/>
          <w:szCs w:val="28"/>
        </w:rPr>
        <w:t>为使项目按质、按量、按时及有序实施，投标人应建立完善、稳定的项目团队、内部组织管理方式及管理机构、协调机制、技术基础，支撑保障要求及其他相关要求。在机制保障方面，成立组织实施小组和项目专家组的双轨制的组织模式。在项目日常管理和条件保障方面，从行政组织、后勤保障和支撑条件各方面创造良好的服务环境，确保项目的顺利实施。</w:t>
      </w:r>
    </w:p>
    <w:p w14:paraId="27E789A7">
      <w:pPr>
        <w:pStyle w:val="9"/>
        <w:rPr>
          <w:rFonts w:ascii="Times New Roman" w:hAnsi="Times New Roman"/>
        </w:rPr>
      </w:pPr>
      <w:r>
        <w:rPr>
          <w:rFonts w:ascii="Times New Roman" w:hAnsi="Times New Roman"/>
        </w:rPr>
        <w:t>文档管理要求</w:t>
      </w:r>
    </w:p>
    <w:p w14:paraId="0DE4EC8A">
      <w:pPr>
        <w:ind w:firstLine="560" w:firstLineChars="200"/>
        <w:jc w:val="left"/>
        <w:rPr>
          <w:rFonts w:hint="eastAsia" w:eastAsia="楷体_GB2312"/>
          <w:sz w:val="28"/>
          <w:szCs w:val="28"/>
        </w:rPr>
      </w:pPr>
      <w:r>
        <w:rPr>
          <w:rFonts w:eastAsia="楷体_GB2312"/>
          <w:sz w:val="28"/>
          <w:szCs w:val="28"/>
        </w:rPr>
        <w:t>投标人应在项目完成时，将本项目所有文档、资料汇集成册交付给采购人，所有文件要求用中文书写或有完整的中文注释。验收后，投标人按国家、省以及采购人档案管理要求，向采购人提供装订成册的纸质文档至少</w:t>
      </w:r>
      <w:r>
        <w:rPr>
          <w:rFonts w:eastAsia="楷体_GB2312"/>
          <w:sz w:val="28"/>
          <w:szCs w:val="28"/>
          <w:u w:val="single"/>
        </w:rPr>
        <w:t>1</w:t>
      </w:r>
      <w:r>
        <w:rPr>
          <w:rFonts w:eastAsia="楷体_GB2312"/>
          <w:sz w:val="28"/>
          <w:szCs w:val="28"/>
        </w:rPr>
        <w:t>套，电子文档</w:t>
      </w:r>
      <w:r>
        <w:rPr>
          <w:rFonts w:eastAsia="楷体_GB2312"/>
          <w:sz w:val="28"/>
          <w:szCs w:val="28"/>
          <w:u w:val="single"/>
        </w:rPr>
        <w:t>1</w:t>
      </w:r>
      <w:r>
        <w:rPr>
          <w:rFonts w:eastAsia="楷体_GB2312"/>
          <w:sz w:val="28"/>
          <w:szCs w:val="28"/>
        </w:rPr>
        <w:t>套。</w:t>
      </w:r>
    </w:p>
    <w:p w14:paraId="2CD60F78">
      <w:pPr>
        <w:pStyle w:val="9"/>
        <w:rPr>
          <w:rFonts w:ascii="Times New Roman" w:hAnsi="Times New Roman"/>
        </w:rPr>
      </w:pPr>
      <w:r>
        <w:rPr>
          <w:rFonts w:ascii="Times New Roman" w:hAnsi="Times New Roman"/>
        </w:rPr>
        <w:t>质量保证要求</w:t>
      </w:r>
    </w:p>
    <w:p w14:paraId="7E3F1100">
      <w:pPr>
        <w:ind w:firstLine="560" w:firstLineChars="200"/>
        <w:jc w:val="left"/>
        <w:rPr>
          <w:rFonts w:hint="eastAsia" w:eastAsia="楷体_GB2312"/>
          <w:sz w:val="28"/>
          <w:szCs w:val="28"/>
        </w:rPr>
      </w:pPr>
      <w:r>
        <w:rPr>
          <w:rFonts w:eastAsia="楷体_GB2312"/>
          <w:sz w:val="28"/>
          <w:szCs w:val="28"/>
        </w:rPr>
        <w:t>为保证本项目能按时高质的顺利完成，规避项目风险或将风险降至最低程度，投标人应建立项目质量管理体系，包括但不限于质量目标、质量指标、岗位责任、问题处理计划、质量评价、整改完善等内容，并建立奖惩制度。</w:t>
      </w:r>
    </w:p>
    <w:p w14:paraId="6E5C8D88">
      <w:pPr>
        <w:pStyle w:val="8"/>
        <w:rPr>
          <w:rFonts w:ascii="Times New Roman" w:hAnsi="Times New Roman"/>
        </w:rPr>
      </w:pPr>
      <w:r>
        <w:rPr>
          <w:rFonts w:ascii="Times New Roman" w:hAnsi="Times New Roman"/>
        </w:rPr>
        <w:t>验收标准</w:t>
      </w:r>
    </w:p>
    <w:p w14:paraId="4B235F6C">
      <w:pPr>
        <w:ind w:firstLine="560" w:firstLineChars="200"/>
        <w:jc w:val="left"/>
        <w:rPr>
          <w:rFonts w:hint="eastAsia" w:eastAsia="楷体_GB2312"/>
          <w:sz w:val="28"/>
          <w:szCs w:val="28"/>
        </w:rPr>
      </w:pPr>
      <w:r>
        <w:rPr>
          <w:rFonts w:hint="eastAsia" w:eastAsia="楷体_GB2312"/>
          <w:sz w:val="28"/>
          <w:szCs w:val="28"/>
        </w:rPr>
        <w:t>项目验收按照广东省政务服务数据管理局项目验收的有关规定执行。项目验收的具体组织工作由项目采购人承担。</w:t>
      </w:r>
    </w:p>
    <w:p w14:paraId="718F96F2">
      <w:pPr>
        <w:ind w:firstLine="560" w:firstLineChars="200"/>
        <w:jc w:val="left"/>
        <w:rPr>
          <w:rFonts w:hint="eastAsia" w:eastAsia="楷体_GB2312"/>
          <w:sz w:val="28"/>
          <w:szCs w:val="28"/>
        </w:rPr>
      </w:pPr>
      <w:r>
        <w:rPr>
          <w:rFonts w:hint="eastAsia" w:eastAsia="楷体_GB2312"/>
          <w:sz w:val="28"/>
          <w:szCs w:val="28"/>
        </w:rPr>
        <w:t>本项目的验收应符合广东省政务服务数据管理局相关验收管理办法的要求，同时应遵循下列标准：</w:t>
      </w:r>
    </w:p>
    <w:p w14:paraId="5DF2C9D1">
      <w:pPr>
        <w:ind w:firstLine="560" w:firstLineChars="200"/>
        <w:jc w:val="left"/>
        <w:rPr>
          <w:rFonts w:hint="eastAsia" w:eastAsia="楷体_GB2312"/>
          <w:sz w:val="28"/>
          <w:szCs w:val="28"/>
        </w:rPr>
      </w:pPr>
      <w:r>
        <w:rPr>
          <w:rFonts w:hint="eastAsia" w:eastAsia="楷体_GB2312"/>
          <w:sz w:val="28"/>
          <w:szCs w:val="28"/>
        </w:rPr>
        <w:t>1）实现合同和根据招标文件所编写的投标文件中列举的全部内容。</w:t>
      </w:r>
    </w:p>
    <w:p w14:paraId="6D3AC78E">
      <w:pPr>
        <w:ind w:firstLine="560" w:firstLineChars="200"/>
        <w:jc w:val="left"/>
        <w:rPr>
          <w:rFonts w:hint="eastAsia" w:eastAsia="楷体_GB2312"/>
          <w:sz w:val="28"/>
          <w:szCs w:val="28"/>
        </w:rPr>
      </w:pPr>
      <w:r>
        <w:rPr>
          <w:rFonts w:hint="eastAsia" w:eastAsia="楷体_GB2312"/>
          <w:sz w:val="28"/>
          <w:szCs w:val="28"/>
        </w:rPr>
        <w:t>2）项目验收包括按照合同和根据招标文件所编写的投标文件中相关的运维过程文档及广东省政务服务数据管理局项目相关验收管理办法所要求的全部文档。</w:t>
      </w:r>
    </w:p>
    <w:p w14:paraId="51AD1A8F">
      <w:pPr>
        <w:pStyle w:val="8"/>
        <w:rPr>
          <w:rFonts w:ascii="Times New Roman" w:hAnsi="Times New Roman"/>
        </w:rPr>
      </w:pPr>
      <w:r>
        <w:rPr>
          <w:rFonts w:ascii="Times New Roman" w:hAnsi="Times New Roman"/>
        </w:rPr>
        <w:t>其他要求</w:t>
      </w:r>
    </w:p>
    <w:p w14:paraId="0608DB83">
      <w:pPr>
        <w:pStyle w:val="9"/>
        <w:rPr>
          <w:rFonts w:ascii="Times New Roman" w:hAnsi="Times New Roman"/>
        </w:rPr>
      </w:pPr>
      <w:r>
        <w:rPr>
          <w:rFonts w:ascii="Times New Roman" w:hAnsi="Times New Roman"/>
        </w:rPr>
        <w:t>服务响应要求</w:t>
      </w:r>
    </w:p>
    <w:p w14:paraId="5603E8D8">
      <w:pPr>
        <w:ind w:firstLine="560" w:firstLineChars="200"/>
        <w:jc w:val="left"/>
        <w:rPr>
          <w:rFonts w:eastAsia="楷体_GB2312"/>
          <w:sz w:val="28"/>
          <w:szCs w:val="28"/>
        </w:rPr>
      </w:pPr>
      <w:r>
        <w:rPr>
          <w:rFonts w:eastAsia="楷体_GB2312"/>
          <w:sz w:val="28"/>
          <w:szCs w:val="28"/>
        </w:rPr>
        <w:t>1.服务响应可通过现场、远程等方式提供，由此产生的一切费用均由投标人承担。</w:t>
      </w:r>
    </w:p>
    <w:p w14:paraId="072FF7C8">
      <w:pPr>
        <w:ind w:firstLine="560" w:firstLineChars="200"/>
        <w:jc w:val="left"/>
        <w:rPr>
          <w:rFonts w:hint="eastAsia" w:eastAsia="楷体_GB2312"/>
          <w:sz w:val="28"/>
          <w:szCs w:val="28"/>
        </w:rPr>
      </w:pPr>
      <w:r>
        <w:rPr>
          <w:rFonts w:hint="eastAsia" w:eastAsia="楷体_GB2312"/>
          <w:sz w:val="28"/>
          <w:szCs w:val="28"/>
        </w:rPr>
        <w:t>2</w:t>
      </w:r>
      <w:r>
        <w:rPr>
          <w:rFonts w:eastAsia="楷体_GB2312"/>
          <w:sz w:val="28"/>
          <w:szCs w:val="28"/>
        </w:rPr>
        <w:t>.</w:t>
      </w:r>
      <w:r>
        <w:rPr>
          <w:rFonts w:hint="eastAsia"/>
        </w:rPr>
        <w:t xml:space="preserve"> </w:t>
      </w:r>
      <w:r>
        <w:rPr>
          <w:rFonts w:hint="eastAsia" w:eastAsia="楷体_GB2312"/>
          <w:sz w:val="28"/>
          <w:szCs w:val="28"/>
        </w:rPr>
        <w:t>发现网站黑链、违规内容、网站挂马行为通知各信息系统负责人≤20分钟</w:t>
      </w:r>
    </w:p>
    <w:p w14:paraId="46E9ED1F">
      <w:pPr>
        <w:ind w:firstLine="560" w:firstLineChars="200"/>
        <w:jc w:val="left"/>
        <w:rPr>
          <w:rFonts w:eastAsia="楷体_GB2312"/>
          <w:sz w:val="28"/>
          <w:szCs w:val="28"/>
        </w:rPr>
      </w:pPr>
      <w:r>
        <w:rPr>
          <w:rFonts w:eastAsia="楷体_GB2312"/>
          <w:sz w:val="28"/>
          <w:szCs w:val="28"/>
        </w:rPr>
        <w:t>3.</w:t>
      </w:r>
      <w:r>
        <w:rPr>
          <w:rFonts w:hint="eastAsia" w:eastAsia="楷体_GB2312"/>
          <w:sz w:val="28"/>
          <w:szCs w:val="28"/>
        </w:rPr>
        <w:t>网络安全应急支持服务平均响应时间≤10分钟。</w:t>
      </w:r>
    </w:p>
    <w:p w14:paraId="05474A9D">
      <w:pPr>
        <w:ind w:firstLine="560" w:firstLineChars="200"/>
        <w:jc w:val="left"/>
        <w:rPr>
          <w:rFonts w:hint="eastAsia" w:eastAsia="楷体_GB2312"/>
          <w:sz w:val="28"/>
          <w:szCs w:val="28"/>
        </w:rPr>
      </w:pPr>
      <w:r>
        <w:rPr>
          <w:rFonts w:eastAsia="楷体_GB2312"/>
          <w:sz w:val="28"/>
          <w:szCs w:val="28"/>
        </w:rPr>
        <w:t>4.</w:t>
      </w:r>
      <w:r>
        <w:rPr>
          <w:rFonts w:hint="eastAsia" w:eastAsia="楷体_GB2312"/>
          <w:sz w:val="28"/>
          <w:szCs w:val="28"/>
        </w:rPr>
        <w:t>重保期间7*24小时网络安全值守，平均响应时间≤10分钟。</w:t>
      </w:r>
    </w:p>
    <w:p w14:paraId="4AC4E91B">
      <w:pPr>
        <w:pStyle w:val="9"/>
        <w:rPr>
          <w:rFonts w:ascii="Times New Roman" w:hAnsi="Times New Roman"/>
        </w:rPr>
      </w:pPr>
      <w:r>
        <w:rPr>
          <w:rFonts w:ascii="Times New Roman" w:hAnsi="Times New Roman"/>
        </w:rPr>
        <w:t>资产权属</w:t>
      </w:r>
    </w:p>
    <w:p w14:paraId="15B2A06A">
      <w:pPr>
        <w:ind w:firstLine="560" w:firstLineChars="200"/>
        <w:jc w:val="left"/>
        <w:rPr>
          <w:rFonts w:eastAsia="楷体_GB2312"/>
          <w:sz w:val="28"/>
          <w:szCs w:val="28"/>
        </w:rPr>
      </w:pPr>
      <w:r>
        <w:rPr>
          <w:rFonts w:eastAsia="楷体_GB2312"/>
          <w:sz w:val="28"/>
          <w:szCs w:val="28"/>
        </w:rPr>
        <w:t>1.本合同不会引起任何已申请、登记的知识产权所有权的转移。</w:t>
      </w:r>
    </w:p>
    <w:p w14:paraId="6702EAE4">
      <w:pPr>
        <w:ind w:firstLine="560" w:firstLineChars="200"/>
        <w:jc w:val="left"/>
        <w:rPr>
          <w:rFonts w:eastAsia="楷体_GB2312"/>
          <w:sz w:val="28"/>
          <w:szCs w:val="28"/>
        </w:rPr>
      </w:pPr>
      <w:r>
        <w:rPr>
          <w:rFonts w:eastAsia="楷体_GB2312"/>
          <w:sz w:val="28"/>
          <w:szCs w:val="28"/>
        </w:rPr>
        <w:t>2.投标人、采购人双方一致同意，本合同所涉服务成果的知识产权归属按下列第</w:t>
      </w:r>
      <w:r>
        <w:rPr>
          <w:rFonts w:hint="eastAsia" w:eastAsia="楷体_GB2312"/>
          <w:sz w:val="28"/>
          <w:szCs w:val="28"/>
          <w:u w:val="single"/>
        </w:rPr>
        <w:t>（3）</w:t>
      </w:r>
      <w:r>
        <w:rPr>
          <w:rFonts w:eastAsia="楷体_GB2312"/>
          <w:sz w:val="28"/>
          <w:szCs w:val="28"/>
        </w:rPr>
        <w:t>种方式处理：</w:t>
      </w:r>
    </w:p>
    <w:p w14:paraId="1CFE9AD6">
      <w:pPr>
        <w:ind w:firstLine="560" w:firstLineChars="200"/>
        <w:jc w:val="left"/>
        <w:rPr>
          <w:rFonts w:eastAsia="楷体_GB2312"/>
          <w:sz w:val="28"/>
          <w:szCs w:val="28"/>
        </w:rPr>
      </w:pPr>
      <w:r>
        <w:rPr>
          <w:rFonts w:eastAsia="楷体_GB2312"/>
          <w:sz w:val="28"/>
          <w:szCs w:val="28"/>
        </w:rPr>
        <w:t>（1）</w:t>
      </w:r>
      <w:r>
        <w:rPr>
          <w:rFonts w:hint="eastAsia" w:eastAsia="楷体_GB2312"/>
          <w:sz w:val="28"/>
          <w:szCs w:val="28"/>
        </w:rPr>
        <w:t>投标人</w:t>
      </w:r>
      <w:r>
        <w:rPr>
          <w:rFonts w:eastAsia="楷体_GB2312"/>
          <w:sz w:val="28"/>
          <w:szCs w:val="28"/>
        </w:rPr>
        <w:t>负责开发软件服务，包括代码编写、调试、测试等开发工作，</w:t>
      </w:r>
      <w:r>
        <w:rPr>
          <w:rFonts w:hint="eastAsia" w:eastAsia="楷体_GB2312"/>
          <w:sz w:val="28"/>
          <w:szCs w:val="28"/>
        </w:rPr>
        <w:t>投标人</w:t>
      </w:r>
      <w:r>
        <w:rPr>
          <w:rFonts w:eastAsia="楷体_GB2312"/>
          <w:sz w:val="28"/>
          <w:szCs w:val="28"/>
        </w:rPr>
        <w:t>为履行本合同义务所形成的服务成果的知识产权归</w:t>
      </w:r>
      <w:r>
        <w:rPr>
          <w:rFonts w:hint="eastAsia" w:eastAsia="楷体_GB2312"/>
          <w:sz w:val="28"/>
          <w:szCs w:val="28"/>
        </w:rPr>
        <w:t>采购人</w:t>
      </w:r>
      <w:r>
        <w:rPr>
          <w:rFonts w:eastAsia="楷体_GB2312"/>
          <w:sz w:val="28"/>
          <w:szCs w:val="28"/>
        </w:rPr>
        <w:t>单独所有。</w:t>
      </w:r>
    </w:p>
    <w:p w14:paraId="05C91304">
      <w:pPr>
        <w:ind w:firstLine="560" w:firstLineChars="200"/>
        <w:jc w:val="left"/>
        <w:rPr>
          <w:rFonts w:eastAsia="楷体_GB2312"/>
          <w:sz w:val="28"/>
          <w:szCs w:val="28"/>
        </w:rPr>
      </w:pPr>
      <w:r>
        <w:rPr>
          <w:rFonts w:eastAsia="楷体_GB2312"/>
          <w:sz w:val="28"/>
          <w:szCs w:val="28"/>
        </w:rPr>
        <w:t>（2）</w:t>
      </w:r>
      <w:r>
        <w:rPr>
          <w:rFonts w:hint="eastAsia" w:eastAsia="楷体_GB2312"/>
          <w:sz w:val="28"/>
          <w:szCs w:val="28"/>
        </w:rPr>
        <w:t>投标人</w:t>
      </w:r>
      <w:r>
        <w:rPr>
          <w:rFonts w:eastAsia="楷体_GB2312"/>
          <w:sz w:val="28"/>
          <w:szCs w:val="28"/>
        </w:rPr>
        <w:t>负责提供定制软件租赁服务，</w:t>
      </w:r>
      <w:r>
        <w:rPr>
          <w:rFonts w:hint="eastAsia" w:eastAsia="楷体_GB2312"/>
          <w:sz w:val="28"/>
          <w:szCs w:val="28"/>
        </w:rPr>
        <w:t>采购人</w:t>
      </w:r>
      <w:r>
        <w:rPr>
          <w:rFonts w:eastAsia="楷体_GB2312"/>
          <w:sz w:val="28"/>
          <w:szCs w:val="28"/>
        </w:rPr>
        <w:t>基于本合同约定委托</w:t>
      </w:r>
      <w:r>
        <w:rPr>
          <w:rFonts w:hint="eastAsia" w:eastAsia="楷体_GB2312"/>
          <w:sz w:val="28"/>
          <w:szCs w:val="28"/>
        </w:rPr>
        <w:t>投标人</w:t>
      </w:r>
      <w:r>
        <w:rPr>
          <w:rFonts w:eastAsia="楷体_GB2312"/>
          <w:sz w:val="28"/>
          <w:szCs w:val="28"/>
        </w:rPr>
        <w:t>定制开发的产品、程序、服务等的知识产权归甲、</w:t>
      </w:r>
      <w:r>
        <w:rPr>
          <w:rFonts w:hint="eastAsia" w:eastAsia="楷体_GB2312"/>
          <w:sz w:val="28"/>
          <w:szCs w:val="28"/>
        </w:rPr>
        <w:t>投标人</w:t>
      </w:r>
      <w:r>
        <w:rPr>
          <w:rFonts w:eastAsia="楷体_GB2312"/>
          <w:sz w:val="28"/>
          <w:szCs w:val="28"/>
        </w:rPr>
        <w:t>共同所有，</w:t>
      </w:r>
      <w:r>
        <w:rPr>
          <w:rFonts w:hint="eastAsia" w:eastAsia="楷体_GB2312"/>
          <w:sz w:val="28"/>
          <w:szCs w:val="28"/>
        </w:rPr>
        <w:t>投标人</w:t>
      </w:r>
      <w:r>
        <w:rPr>
          <w:rFonts w:eastAsia="楷体_GB2312"/>
          <w:sz w:val="28"/>
          <w:szCs w:val="28"/>
        </w:rPr>
        <w:t>应按</w:t>
      </w:r>
      <w:r>
        <w:rPr>
          <w:rFonts w:hint="eastAsia" w:eastAsia="楷体_GB2312"/>
          <w:sz w:val="28"/>
          <w:szCs w:val="28"/>
        </w:rPr>
        <w:t>采购人</w:t>
      </w:r>
      <w:r>
        <w:rPr>
          <w:rFonts w:eastAsia="楷体_GB2312"/>
          <w:sz w:val="28"/>
          <w:szCs w:val="28"/>
        </w:rPr>
        <w:t>书面要求交付该共有部分的源代码；</w:t>
      </w:r>
      <w:r>
        <w:rPr>
          <w:rFonts w:hint="eastAsia" w:eastAsia="楷体_GB2312"/>
          <w:sz w:val="28"/>
          <w:szCs w:val="28"/>
        </w:rPr>
        <w:t>投标人</w:t>
      </w:r>
      <w:r>
        <w:rPr>
          <w:rFonts w:eastAsia="楷体_GB2312"/>
          <w:sz w:val="28"/>
          <w:szCs w:val="28"/>
        </w:rPr>
        <w:t>在共有部分的基础上进行二次开发的及对二次开发形成的产品、程序等财产进行处置的，需经</w:t>
      </w:r>
      <w:r>
        <w:rPr>
          <w:rFonts w:hint="eastAsia" w:eastAsia="楷体_GB2312"/>
          <w:sz w:val="28"/>
          <w:szCs w:val="28"/>
        </w:rPr>
        <w:t>采购人</w:t>
      </w:r>
      <w:r>
        <w:rPr>
          <w:rFonts w:eastAsia="楷体_GB2312"/>
          <w:sz w:val="28"/>
          <w:szCs w:val="28"/>
        </w:rPr>
        <w:t>书面同意，二次开发所形成的产品、程序、服务等的知识产权归开发者所有，共有部分仍归甲、</w:t>
      </w:r>
      <w:r>
        <w:rPr>
          <w:rFonts w:hint="eastAsia" w:eastAsia="楷体_GB2312"/>
          <w:sz w:val="28"/>
          <w:szCs w:val="28"/>
        </w:rPr>
        <w:t>投标人</w:t>
      </w:r>
      <w:r>
        <w:rPr>
          <w:rFonts w:eastAsia="楷体_GB2312"/>
          <w:sz w:val="28"/>
          <w:szCs w:val="28"/>
        </w:rPr>
        <w:t>共同所有。</w:t>
      </w:r>
      <w:r>
        <w:rPr>
          <w:rFonts w:hint="eastAsia" w:eastAsia="楷体_GB2312"/>
          <w:sz w:val="28"/>
          <w:szCs w:val="28"/>
        </w:rPr>
        <w:t>投标人</w:t>
      </w:r>
      <w:r>
        <w:rPr>
          <w:rFonts w:eastAsia="楷体_GB2312"/>
          <w:sz w:val="28"/>
          <w:szCs w:val="28"/>
        </w:rPr>
        <w:t>根据</w:t>
      </w:r>
      <w:r>
        <w:rPr>
          <w:rFonts w:hint="eastAsia" w:eastAsia="楷体_GB2312"/>
          <w:sz w:val="28"/>
          <w:szCs w:val="28"/>
        </w:rPr>
        <w:t>采购人</w:t>
      </w:r>
      <w:r>
        <w:rPr>
          <w:rFonts w:eastAsia="楷体_GB2312"/>
          <w:sz w:val="28"/>
          <w:szCs w:val="28"/>
        </w:rPr>
        <w:t>授权，利用项目成果申请的商标、专利或输出的图片、视频等受知识产权保护的成果物，</w:t>
      </w:r>
      <w:r>
        <w:rPr>
          <w:rFonts w:hint="eastAsia" w:eastAsia="楷体_GB2312"/>
          <w:sz w:val="28"/>
          <w:szCs w:val="28"/>
        </w:rPr>
        <w:t>采购人</w:t>
      </w:r>
      <w:r>
        <w:rPr>
          <w:rFonts w:eastAsia="楷体_GB2312"/>
          <w:sz w:val="28"/>
          <w:szCs w:val="28"/>
        </w:rPr>
        <w:t>有权无条件永久使用。</w:t>
      </w:r>
    </w:p>
    <w:p w14:paraId="02DAE6EB">
      <w:pPr>
        <w:ind w:firstLine="560" w:firstLineChars="200"/>
        <w:jc w:val="left"/>
        <w:rPr>
          <w:rFonts w:eastAsia="楷体_GB2312"/>
          <w:sz w:val="28"/>
          <w:szCs w:val="28"/>
        </w:rPr>
      </w:pPr>
      <w:r>
        <w:rPr>
          <w:rFonts w:eastAsia="楷体_GB2312"/>
          <w:sz w:val="28"/>
          <w:szCs w:val="28"/>
        </w:rPr>
        <w:t>（3）</w:t>
      </w:r>
      <w:r>
        <w:rPr>
          <w:rFonts w:hint="eastAsia" w:eastAsia="楷体_GB2312"/>
          <w:sz w:val="28"/>
          <w:szCs w:val="28"/>
        </w:rPr>
        <w:t>投标人</w:t>
      </w:r>
      <w:r>
        <w:rPr>
          <w:rFonts w:eastAsia="楷体_GB2312"/>
          <w:sz w:val="28"/>
          <w:szCs w:val="28"/>
        </w:rPr>
        <w:t>负责提供运营服务或成品软件租赁服务，</w:t>
      </w:r>
      <w:r>
        <w:rPr>
          <w:rFonts w:hint="eastAsia" w:eastAsia="楷体_GB2312"/>
          <w:sz w:val="28"/>
          <w:szCs w:val="28"/>
        </w:rPr>
        <w:t>投标人</w:t>
      </w:r>
      <w:r>
        <w:rPr>
          <w:rFonts w:eastAsia="楷体_GB2312"/>
          <w:sz w:val="28"/>
          <w:szCs w:val="28"/>
        </w:rPr>
        <w:t>为履行本合同义务所形成的所有服务成果的知识产权（除成品软件开发涉及的知识产权）归</w:t>
      </w:r>
      <w:r>
        <w:rPr>
          <w:rFonts w:hint="eastAsia" w:eastAsia="楷体_GB2312"/>
          <w:sz w:val="28"/>
          <w:szCs w:val="28"/>
        </w:rPr>
        <w:t>采购人</w:t>
      </w:r>
      <w:r>
        <w:rPr>
          <w:rFonts w:eastAsia="楷体_GB2312"/>
          <w:sz w:val="28"/>
          <w:szCs w:val="28"/>
        </w:rPr>
        <w:t>单独所有。</w:t>
      </w:r>
    </w:p>
    <w:p w14:paraId="325033F5">
      <w:pPr>
        <w:ind w:firstLine="560" w:firstLineChars="200"/>
        <w:jc w:val="left"/>
        <w:rPr>
          <w:rFonts w:eastAsia="楷体_GB2312"/>
          <w:sz w:val="28"/>
          <w:szCs w:val="28"/>
        </w:rPr>
      </w:pPr>
      <w:r>
        <w:rPr>
          <w:rFonts w:eastAsia="楷体_GB2312"/>
          <w:sz w:val="28"/>
          <w:szCs w:val="28"/>
        </w:rPr>
        <w:t>（4）本项目仅包含基础设施服务租用或运维服务，不涉及知识产权权属转移。</w:t>
      </w:r>
    </w:p>
    <w:p w14:paraId="2A594C81">
      <w:pPr>
        <w:ind w:firstLine="560" w:firstLineChars="200"/>
        <w:jc w:val="left"/>
        <w:rPr>
          <w:rFonts w:eastAsia="楷体_GB2312"/>
          <w:sz w:val="28"/>
          <w:szCs w:val="28"/>
        </w:rPr>
      </w:pPr>
      <w:r>
        <w:rPr>
          <w:rFonts w:eastAsia="楷体_GB2312"/>
          <w:sz w:val="28"/>
          <w:szCs w:val="28"/>
        </w:rPr>
        <w:t>3.本合同所涉及的数据所有权归</w:t>
      </w:r>
      <w:r>
        <w:rPr>
          <w:rFonts w:hint="eastAsia" w:eastAsia="楷体_GB2312"/>
          <w:sz w:val="28"/>
          <w:szCs w:val="28"/>
        </w:rPr>
        <w:t>省科技厅</w:t>
      </w:r>
      <w:r>
        <w:rPr>
          <w:rFonts w:eastAsia="楷体_GB2312"/>
          <w:sz w:val="28"/>
          <w:szCs w:val="28"/>
        </w:rPr>
        <w:t>所有。投标人只能用于履行本合同之义务。</w:t>
      </w:r>
    </w:p>
    <w:p w14:paraId="0C8FF08F">
      <w:pPr>
        <w:ind w:firstLine="560" w:firstLineChars="200"/>
        <w:jc w:val="left"/>
        <w:rPr>
          <w:rFonts w:hint="eastAsia" w:eastAsia="楷体_GB2312"/>
          <w:sz w:val="28"/>
          <w:szCs w:val="28"/>
        </w:rPr>
      </w:pPr>
      <w:r>
        <w:rPr>
          <w:rFonts w:hint="eastAsia" w:eastAsia="楷体_GB2312"/>
          <w:sz w:val="28"/>
          <w:szCs w:val="28"/>
        </w:rPr>
        <w:t>4.投标人提供的相关软件应是自行开发的产品或具备合法、合规授权，满足知识产权等方面的有关规定和要求。</w:t>
      </w:r>
    </w:p>
    <w:p w14:paraId="4B12E17E">
      <w:pPr>
        <w:ind w:firstLine="560" w:firstLineChars="200"/>
        <w:jc w:val="left"/>
        <w:rPr>
          <w:rFonts w:hint="eastAsia" w:eastAsia="楷体_GB2312"/>
          <w:sz w:val="28"/>
          <w:szCs w:val="28"/>
        </w:rPr>
      </w:pPr>
      <w:r>
        <w:rPr>
          <w:rFonts w:eastAsia="楷体_GB2312"/>
          <w:sz w:val="28"/>
          <w:szCs w:val="28"/>
        </w:rPr>
        <w:t>5.投标人保证向采购人提供的服务成果是其独立实施完成，不存在任何侵犯第三方专利权、商标权、著作权等合法权益。如因投标人提供的服务成果侵犯任何第三方的合法权益，导致该第三方追究采购人责任的，投标人应负责解决并赔偿因此给采购人造成的全部损失。</w:t>
      </w:r>
    </w:p>
    <w:p w14:paraId="4358D08E">
      <w:pPr>
        <w:pStyle w:val="9"/>
        <w:rPr>
          <w:rFonts w:ascii="Times New Roman" w:hAnsi="Times New Roman"/>
        </w:rPr>
      </w:pPr>
      <w:r>
        <w:rPr>
          <w:rFonts w:ascii="Times New Roman" w:hAnsi="Times New Roman"/>
        </w:rPr>
        <w:t>保密要求</w:t>
      </w:r>
    </w:p>
    <w:p w14:paraId="463BABC2">
      <w:pPr>
        <w:ind w:firstLine="560" w:firstLineChars="200"/>
        <w:jc w:val="left"/>
        <w:rPr>
          <w:rFonts w:eastAsia="楷体_GB2312"/>
          <w:sz w:val="28"/>
          <w:szCs w:val="28"/>
        </w:rPr>
      </w:pPr>
      <w:r>
        <w:rPr>
          <w:rFonts w:eastAsia="楷体_GB2312"/>
          <w:sz w:val="28"/>
          <w:szCs w:val="28"/>
        </w:rPr>
        <w:t>1.投标人应签订保密协议，对其因身份、职务、职业或技术关系而知悉的采购人商业秘密和党政机关保密信息应严格保守，保证不被披露或使用，包括意外或过失。</w:t>
      </w:r>
    </w:p>
    <w:p w14:paraId="54E43F03">
      <w:pPr>
        <w:ind w:firstLine="560" w:firstLineChars="200"/>
        <w:jc w:val="left"/>
        <w:rPr>
          <w:rFonts w:eastAsia="楷体_GB2312"/>
          <w:sz w:val="28"/>
          <w:szCs w:val="28"/>
        </w:rPr>
      </w:pPr>
      <w:r>
        <w:rPr>
          <w:rFonts w:eastAsia="楷体_GB2312"/>
          <w:sz w:val="28"/>
          <w:szCs w:val="28"/>
        </w:rPr>
        <w:t xml:space="preserve">2.投标人不得以竞争为目的、或出于私利、或为第三人谋利而擅自保存、披露、使用采购人商业秘密和党政机关保密信息；不得直接或间接地向无关人员泄露采购人的商业秘密和党政机关保密信息；不得向不承担保密义务的任何第三人披露采购人的商业秘密和党政机关保密信息。投标人在从事政府项目时，不得擅自记录、复制、拍摄、摘抄、收藏在工作中涉及的保密信息，严禁将涉及政府项目的任何资料、数据透露或以其他方式提供给项目以外的其他方或投标人内部与该项目无关的任何人员。 </w:t>
      </w:r>
    </w:p>
    <w:p w14:paraId="7481625A">
      <w:pPr>
        <w:ind w:firstLine="560" w:firstLineChars="200"/>
        <w:jc w:val="left"/>
        <w:rPr>
          <w:rFonts w:eastAsia="楷体_GB2312"/>
          <w:sz w:val="28"/>
          <w:szCs w:val="28"/>
        </w:rPr>
      </w:pPr>
      <w:r>
        <w:rPr>
          <w:rFonts w:eastAsia="楷体_GB2312"/>
          <w:sz w:val="28"/>
          <w:szCs w:val="28"/>
        </w:rPr>
        <w:t xml:space="preserve">3.投标人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 </w:t>
      </w:r>
    </w:p>
    <w:p w14:paraId="706970D5">
      <w:pPr>
        <w:ind w:firstLine="565" w:firstLineChars="202"/>
        <w:jc w:val="both"/>
        <w:rPr>
          <w:rFonts w:hint="eastAsia" w:eastAsia="楷体_GB2312"/>
          <w:sz w:val="28"/>
          <w:szCs w:val="28"/>
        </w:rPr>
      </w:pPr>
      <w:r>
        <w:rPr>
          <w:rFonts w:eastAsia="楷体_GB2312"/>
          <w:sz w:val="28"/>
          <w:szCs w:val="28"/>
        </w:rPr>
        <w:t>4.严禁泄露在工作中接触到的政府机关科技研究、发明、装备器材及其技术资料和政府工作信息。</w:t>
      </w:r>
      <w:r>
        <w:rPr>
          <w:rFonts w:hint="eastAsia" w:eastAsia="楷体_GB2312"/>
          <w:sz w:val="28"/>
          <w:szCs w:val="28"/>
        </w:rPr>
        <w:t xml:space="preserve">   </w:t>
      </w:r>
    </w:p>
    <w:p w14:paraId="420031E4">
      <w:pPr>
        <w:ind w:firstLine="565" w:firstLineChars="202"/>
        <w:jc w:val="both"/>
        <w:rPr>
          <w:rFonts w:hint="eastAsia" w:eastAsia="楷体_GB2312"/>
          <w:sz w:val="28"/>
          <w:szCs w:val="28"/>
          <w:lang w:eastAsia="zh-Hans"/>
        </w:rPr>
      </w:pPr>
    </w:p>
    <w:p w14:paraId="2E550387">
      <w:pPr>
        <w:pStyle w:val="7"/>
        <w:adjustRightInd w:val="0"/>
        <w:snapToGrid w:val="0"/>
        <w:spacing w:line="560" w:lineRule="exact"/>
        <w:jc w:val="both"/>
        <w:rPr>
          <w:rFonts w:hint="eastAsia" w:ascii="Times New Roman" w:hAnsi="Times New Roman" w:eastAsia="黑体" w:cs="Times New Roman"/>
          <w:kern w:val="0"/>
          <w:lang w:val="en-US" w:eastAsia="zh-CN"/>
        </w:rPr>
      </w:pPr>
      <w:r>
        <w:rPr>
          <w:rFonts w:hint="eastAsia" w:ascii="Times New Roman" w:hAnsi="Times New Roman" w:cs="Times New Roman"/>
          <w:kern w:val="0"/>
          <w:lang w:val="en-US" w:eastAsia="zh-CN"/>
        </w:rPr>
        <w:t>评审标准</w:t>
      </w:r>
    </w:p>
    <w:p w14:paraId="2B0F09B0">
      <w:pPr>
        <w:ind w:firstLine="565" w:firstLineChars="202"/>
        <w:rPr>
          <w:rFonts w:ascii="楷体_GB2312" w:hAnsi="楷体_GB2312" w:cs="楷体_GB2312"/>
          <w:sz w:val="28"/>
          <w:szCs w:val="28"/>
          <w:lang w:eastAsia="zh-Hans"/>
        </w:rPr>
      </w:pPr>
      <w:r>
        <w:rPr>
          <w:rFonts w:hint="eastAsia" w:ascii="楷体_GB2312" w:hAnsi="楷体_GB2312" w:cs="楷体_GB2312"/>
          <w:sz w:val="28"/>
          <w:szCs w:val="28"/>
          <w:lang w:eastAsia="zh-Hans"/>
        </w:rPr>
        <w:t>表一 资格性审查表：</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7"/>
        <w:gridCol w:w="2885"/>
        <w:gridCol w:w="4800"/>
      </w:tblGrid>
      <w:tr w14:paraId="21E184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52AC5D40">
            <w:pPr>
              <w:jc w:val="center"/>
            </w:pPr>
            <w:r>
              <w:t>序号</w:t>
            </w:r>
          </w:p>
        </w:tc>
        <w:tc>
          <w:tcPr>
            <w:tcW w:w="8253" w:type="dxa"/>
            <w:gridSpan w:val="2"/>
            <w:noWrap w:val="0"/>
            <w:vAlign w:val="center"/>
          </w:tcPr>
          <w:p w14:paraId="3A959AE6">
            <w:pPr>
              <w:jc w:val="center"/>
            </w:pPr>
            <w:r>
              <w:t>资格审查内容</w:t>
            </w:r>
          </w:p>
        </w:tc>
      </w:tr>
      <w:tr w14:paraId="6AF27A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1262DC4C">
            <w:pPr>
              <w:jc w:val="center"/>
            </w:pPr>
            <w:r>
              <w:t>1</w:t>
            </w:r>
          </w:p>
        </w:tc>
        <w:tc>
          <w:tcPr>
            <w:tcW w:w="3178" w:type="dxa"/>
            <w:noWrap w:val="0"/>
            <w:vAlign w:val="center"/>
          </w:tcPr>
          <w:p w14:paraId="2FE28124">
            <w:pPr>
              <w:jc w:val="center"/>
            </w:pPr>
            <w:r>
              <w:t>具有独立承担民事责任的能力</w:t>
            </w:r>
          </w:p>
        </w:tc>
        <w:tc>
          <w:tcPr>
            <w:tcW w:w="5075" w:type="dxa"/>
            <w:noWrap w:val="0"/>
            <w:vAlign w:val="top"/>
          </w:tcPr>
          <w:p w14:paraId="04FE2A67">
            <w:r>
              <w:t>提供在中华人民共和国境内注册的法人或其他组织的营业执照或事业单位法人证书或社会团体法人登记证书复印件，如响应供应商为自然人的提供自然人身份证明复印件；如国家另有规定的，则从其规定。（如供应商为分公司，须取得具有法人资格的总公司（总所）出具给分公司的授权书，并提供总公司（总所）和分公司的营业执照（执业许可证）复印件。已由总公司（总所）授权的，总公司（总所）取得的相关资质证书对分公司有效，法律法规或者行业另有规定的除外）</w:t>
            </w:r>
          </w:p>
        </w:tc>
      </w:tr>
      <w:tr w14:paraId="4710B8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2EBB0A9D">
            <w:pPr>
              <w:jc w:val="center"/>
            </w:pPr>
            <w:r>
              <w:t>2</w:t>
            </w:r>
          </w:p>
        </w:tc>
        <w:tc>
          <w:tcPr>
            <w:tcW w:w="3178" w:type="dxa"/>
            <w:noWrap w:val="0"/>
            <w:vAlign w:val="center"/>
          </w:tcPr>
          <w:p w14:paraId="606E544B">
            <w:pPr>
              <w:jc w:val="center"/>
            </w:pPr>
            <w:r>
              <w:t>有依法缴纳税收和社会保障资金的良好记录</w:t>
            </w:r>
          </w:p>
        </w:tc>
        <w:tc>
          <w:tcPr>
            <w:tcW w:w="5075" w:type="dxa"/>
            <w:noWrap w:val="0"/>
            <w:vAlign w:val="top"/>
          </w:tcPr>
          <w:p w14:paraId="1ADB7E4B">
            <w:r>
              <w:t>提供响应文件提交截止日前6个月内任意1个月依法缴纳税收和社会保障资金的相关材料。如依法免税或不需要缴纳社会保障资金的，提供相应证明材料。</w:t>
            </w:r>
          </w:p>
        </w:tc>
      </w:tr>
      <w:tr w14:paraId="32B076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62F882A3">
            <w:pPr>
              <w:jc w:val="center"/>
            </w:pPr>
            <w:r>
              <w:t>3</w:t>
            </w:r>
          </w:p>
        </w:tc>
        <w:tc>
          <w:tcPr>
            <w:tcW w:w="3178" w:type="dxa"/>
            <w:noWrap w:val="0"/>
            <w:vAlign w:val="center"/>
          </w:tcPr>
          <w:p w14:paraId="7E3B8555">
            <w:pPr>
              <w:jc w:val="center"/>
            </w:pPr>
            <w:r>
              <w:t>具有良好的商业信誉和健全的财务会计制度</w:t>
            </w:r>
          </w:p>
        </w:tc>
        <w:tc>
          <w:tcPr>
            <w:tcW w:w="5075" w:type="dxa"/>
            <w:noWrap w:val="0"/>
            <w:vAlign w:val="top"/>
          </w:tcPr>
          <w:p w14:paraId="70FF2DB8">
            <w:r>
              <w:rPr>
                <w:rFonts w:hint="eastAsia"/>
              </w:rPr>
              <w:t>提供2023年度财务状况报告或2024年至今任意1个月的财务状况报告复印件，或基本开户行出具的资信证明</w:t>
            </w:r>
            <w:r>
              <w:t>。</w:t>
            </w:r>
          </w:p>
        </w:tc>
      </w:tr>
      <w:tr w14:paraId="359AB9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2946DDA4">
            <w:pPr>
              <w:jc w:val="center"/>
            </w:pPr>
            <w:r>
              <w:t>4</w:t>
            </w:r>
          </w:p>
        </w:tc>
        <w:tc>
          <w:tcPr>
            <w:tcW w:w="3178" w:type="dxa"/>
            <w:noWrap w:val="0"/>
            <w:vAlign w:val="center"/>
          </w:tcPr>
          <w:p w14:paraId="3E2FD07E">
            <w:pPr>
              <w:jc w:val="center"/>
            </w:pPr>
            <w:r>
              <w:t>履行合同所必需的设备和专业技术能力</w:t>
            </w:r>
          </w:p>
        </w:tc>
        <w:tc>
          <w:tcPr>
            <w:tcW w:w="5075" w:type="dxa"/>
            <w:noWrap w:val="0"/>
            <w:vAlign w:val="top"/>
          </w:tcPr>
          <w:p w14:paraId="3A81E3B1">
            <w:r>
              <w:t>提供承诺书（格式自拟）。</w:t>
            </w:r>
          </w:p>
        </w:tc>
      </w:tr>
      <w:tr w14:paraId="49C469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627D9A18">
            <w:pPr>
              <w:jc w:val="center"/>
            </w:pPr>
            <w:r>
              <w:t>5</w:t>
            </w:r>
          </w:p>
        </w:tc>
        <w:tc>
          <w:tcPr>
            <w:tcW w:w="3178" w:type="dxa"/>
            <w:noWrap w:val="0"/>
            <w:vAlign w:val="center"/>
          </w:tcPr>
          <w:p w14:paraId="2A7A0184">
            <w:pPr>
              <w:jc w:val="center"/>
            </w:pPr>
            <w:r>
              <w:t>参加采购活动前3年内，在经营活动中没有重大违法记录</w:t>
            </w:r>
          </w:p>
        </w:tc>
        <w:tc>
          <w:tcPr>
            <w:tcW w:w="5075" w:type="dxa"/>
            <w:noWrap w:val="0"/>
            <w:vAlign w:val="top"/>
          </w:tcPr>
          <w:p w14:paraId="7910489B">
            <w:r>
              <w:t>参照《响应承诺函》相关承诺格式内容。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0F3BD9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62249BCC">
            <w:pPr>
              <w:jc w:val="center"/>
            </w:pPr>
            <w:r>
              <w:t>6</w:t>
            </w:r>
          </w:p>
        </w:tc>
        <w:tc>
          <w:tcPr>
            <w:tcW w:w="3178" w:type="dxa"/>
            <w:noWrap w:val="0"/>
            <w:vAlign w:val="center"/>
          </w:tcPr>
          <w:p w14:paraId="2206D7B7">
            <w:pPr>
              <w:jc w:val="center"/>
            </w:pPr>
            <w:r>
              <w:t>信用记录</w:t>
            </w:r>
          </w:p>
        </w:tc>
        <w:tc>
          <w:tcPr>
            <w:tcW w:w="5075" w:type="dxa"/>
            <w:noWrap w:val="0"/>
            <w:vAlign w:val="top"/>
          </w:tcPr>
          <w:p w14:paraId="797E0F77">
            <w: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5E6BAF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noWrap w:val="0"/>
            <w:vAlign w:val="center"/>
          </w:tcPr>
          <w:p w14:paraId="0EB31F32">
            <w:pPr>
              <w:jc w:val="center"/>
            </w:pPr>
            <w:r>
              <w:t>7</w:t>
            </w:r>
          </w:p>
        </w:tc>
        <w:tc>
          <w:tcPr>
            <w:tcW w:w="3178" w:type="dxa"/>
            <w:noWrap w:val="0"/>
            <w:vAlign w:val="center"/>
          </w:tcPr>
          <w:p w14:paraId="1338ABC0">
            <w:pPr>
              <w:jc w:val="center"/>
            </w:pPr>
            <w:r>
              <w:t>供应商必须符合法律、行政法规规定的其他条件</w:t>
            </w:r>
          </w:p>
        </w:tc>
        <w:tc>
          <w:tcPr>
            <w:tcW w:w="5075" w:type="dxa"/>
            <w:noWrap w:val="0"/>
            <w:vAlign w:val="top"/>
          </w:tcPr>
          <w:p w14:paraId="471E2DA3">
            <w:r>
              <w:t>供应商必须符合法律、行政法规规定的其他条件：单位负责人为同一人或者存在直接控股、管理关系的不同供应商，不得同时参加本采购项目（或采购包）投标（响应）。为本项目提供整体设计、规范编制或者项目管理、监理、检测等服务的供应商，不得再参与本项目投标（响应）。参照《响应承诺函》相关承诺格式内容。</w:t>
            </w:r>
          </w:p>
        </w:tc>
      </w:tr>
    </w:tbl>
    <w:p w14:paraId="40D0809C">
      <w:pPr>
        <w:spacing w:line="360" w:lineRule="auto"/>
        <w:ind w:firstLine="480"/>
        <w:jc w:val="left"/>
        <w:rPr>
          <w:rFonts w:ascii="楷体_GB2312" w:hAnsi="楷体_GB2312" w:eastAsia="楷体_GB2312" w:cs="楷体_GB2312"/>
          <w:sz w:val="28"/>
          <w:szCs w:val="28"/>
        </w:rPr>
      </w:pPr>
      <w:r>
        <w:rPr>
          <w:rFonts w:hint="eastAsia" w:ascii="宋体" w:hAnsi="宋体" w:cs="宋体"/>
        </w:rPr>
        <w:t>注：资格性审查未通过的，视为评审不通过。</w:t>
      </w:r>
    </w:p>
    <w:p w14:paraId="14BE27DF">
      <w:pPr>
        <w:ind w:firstLine="565" w:firstLineChars="202"/>
        <w:rPr>
          <w:rFonts w:ascii="楷体_GB2312" w:hAnsi="楷体_GB2312" w:cs="楷体_GB2312"/>
          <w:sz w:val="28"/>
          <w:szCs w:val="28"/>
          <w:lang w:eastAsia="zh-Hans"/>
        </w:rPr>
      </w:pPr>
      <w:r>
        <w:rPr>
          <w:rFonts w:hint="eastAsia" w:ascii="楷体_GB2312" w:hAnsi="楷体_GB2312" w:cs="楷体_GB2312"/>
          <w:sz w:val="28"/>
          <w:szCs w:val="28"/>
          <w:lang w:eastAsia="zh-Hans"/>
        </w:rPr>
        <w:t>表二 具体评审标准表：</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1"/>
        <w:gridCol w:w="2000"/>
        <w:gridCol w:w="5701"/>
      </w:tblGrid>
      <w:tr w14:paraId="3EF76F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noWrap w:val="0"/>
            <w:vAlign w:val="top"/>
          </w:tcPr>
          <w:p w14:paraId="548F199B">
            <w:pPr>
              <w:jc w:val="center"/>
            </w:pPr>
            <w:r>
              <w:t>评审因素</w:t>
            </w:r>
          </w:p>
        </w:tc>
        <w:tc>
          <w:tcPr>
            <w:tcW w:w="8281" w:type="dxa"/>
            <w:gridSpan w:val="2"/>
            <w:noWrap w:val="0"/>
            <w:vAlign w:val="top"/>
          </w:tcPr>
          <w:p w14:paraId="7F79F541">
            <w:pPr>
              <w:jc w:val="center"/>
            </w:pPr>
            <w:r>
              <w:t>评审标准</w:t>
            </w:r>
          </w:p>
        </w:tc>
      </w:tr>
      <w:tr w14:paraId="72C3C7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noWrap w:val="0"/>
            <w:vAlign w:val="top"/>
          </w:tcPr>
          <w:p w14:paraId="4E5F70D3">
            <w:pPr>
              <w:jc w:val="center"/>
            </w:pPr>
            <w:r>
              <w:t>分值构成</w:t>
            </w:r>
          </w:p>
        </w:tc>
        <w:tc>
          <w:tcPr>
            <w:tcW w:w="8281" w:type="dxa"/>
            <w:gridSpan w:val="2"/>
            <w:noWrap w:val="0"/>
            <w:vAlign w:val="top"/>
          </w:tcPr>
          <w:p w14:paraId="7F876031">
            <w:r>
              <w:t>商务部分3</w:t>
            </w:r>
            <w:r>
              <w:rPr>
                <w:rFonts w:hint="eastAsia"/>
              </w:rPr>
              <w:t>0</w:t>
            </w:r>
            <w:r>
              <w:t>.0分</w:t>
            </w:r>
          </w:p>
          <w:p w14:paraId="731D8274">
            <w:r>
              <w:t>技术部分</w:t>
            </w:r>
            <w:r>
              <w:rPr>
                <w:rFonts w:hint="eastAsia"/>
              </w:rPr>
              <w:t>60</w:t>
            </w:r>
            <w:r>
              <w:t>.0分</w:t>
            </w:r>
          </w:p>
          <w:p w14:paraId="278E8CFB">
            <w:r>
              <w:t>报价得分10.0分</w:t>
            </w:r>
          </w:p>
        </w:tc>
      </w:tr>
      <w:tr w14:paraId="2C4C3E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vMerge w:val="restart"/>
            <w:noWrap w:val="0"/>
            <w:vAlign w:val="top"/>
          </w:tcPr>
          <w:p w14:paraId="3AF2AAFE">
            <w:pPr>
              <w:jc w:val="center"/>
            </w:pPr>
            <w:r>
              <w:t>技术部分</w:t>
            </w:r>
          </w:p>
        </w:tc>
        <w:tc>
          <w:tcPr>
            <w:tcW w:w="2145" w:type="dxa"/>
            <w:noWrap w:val="0"/>
            <w:vAlign w:val="center"/>
          </w:tcPr>
          <w:p w14:paraId="1DA14051">
            <w:pPr>
              <w:jc w:val="center"/>
            </w:pPr>
            <w:r>
              <w:t xml:space="preserve">技术总体方案 </w:t>
            </w:r>
            <w:r>
              <w:rPr>
                <w:rFonts w:hint="eastAsia"/>
              </w:rPr>
              <w:t>（20</w:t>
            </w:r>
            <w:r>
              <w:t>分</w:t>
            </w:r>
            <w:r>
              <w:rPr>
                <w:rFonts w:hint="eastAsia"/>
              </w:rPr>
              <w:t>）</w:t>
            </w:r>
          </w:p>
        </w:tc>
        <w:tc>
          <w:tcPr>
            <w:tcW w:w="6136" w:type="dxa"/>
            <w:noWrap w:val="0"/>
            <w:vAlign w:val="top"/>
          </w:tcPr>
          <w:p w14:paraId="30755A2E">
            <w:pPr>
              <w:jc w:val="left"/>
            </w:pPr>
            <w:r>
              <w:t>投标人结合当前广东数字政府改革建设情况，设计技术总体方案，评分细则如下：投标人对广东省数字政府建设的总体架构、建设运营、全省“一片云”“一张网”的数字政府基础设施和公共支撑能力建设、数字政府核心应用建设等现状情况分析准确，结合</w:t>
            </w:r>
            <w:r>
              <w:rPr>
                <w:rFonts w:hint="eastAsia"/>
              </w:rPr>
              <w:t>本项目</w:t>
            </w:r>
            <w:r>
              <w:t>各类类需求的内容，站在数字政府的大平台、大系统的视角，设计技术总体方案。</w:t>
            </w:r>
          </w:p>
          <w:p w14:paraId="0BBCAF1A">
            <w:pPr>
              <w:jc w:val="left"/>
            </w:pPr>
            <w:r>
              <w:t>（1）方案完全满足并优于采购需求，得</w:t>
            </w:r>
            <w:r>
              <w:rPr>
                <w:rFonts w:hint="eastAsia"/>
              </w:rPr>
              <w:t>20</w:t>
            </w:r>
            <w:r>
              <w:t>分；</w:t>
            </w:r>
          </w:p>
          <w:p w14:paraId="41E06E22">
            <w:pPr>
              <w:jc w:val="left"/>
            </w:pPr>
            <w:r>
              <w:t>（2）方案完全满足采购需求，得</w:t>
            </w:r>
            <w:r>
              <w:rPr>
                <w:rFonts w:hint="eastAsia"/>
              </w:rPr>
              <w:t>15</w:t>
            </w:r>
            <w:r>
              <w:t>分；</w:t>
            </w:r>
          </w:p>
          <w:p w14:paraId="233839FF">
            <w:pPr>
              <w:jc w:val="left"/>
            </w:pPr>
            <w:r>
              <w:t>（3）方案</w:t>
            </w:r>
            <w:r>
              <w:rPr>
                <w:rFonts w:hint="eastAsia"/>
              </w:rPr>
              <w:t>基本</w:t>
            </w:r>
            <w:r>
              <w:t>满足采购需求，得</w:t>
            </w:r>
            <w:r>
              <w:rPr>
                <w:rFonts w:hint="eastAsia"/>
              </w:rPr>
              <w:t>10</w:t>
            </w:r>
            <w:r>
              <w:t>分；</w:t>
            </w:r>
          </w:p>
          <w:p w14:paraId="370CD1F5">
            <w:pPr>
              <w:jc w:val="left"/>
            </w:pPr>
            <w:r>
              <w:t>（3）方案不能完全满足采购需求，得</w:t>
            </w:r>
            <w:r>
              <w:rPr>
                <w:rFonts w:hint="eastAsia"/>
              </w:rPr>
              <w:t>5</w:t>
            </w:r>
            <w:r>
              <w:t>分；</w:t>
            </w:r>
          </w:p>
          <w:p w14:paraId="0CE6CD5A">
            <w:pPr>
              <w:jc w:val="left"/>
            </w:pPr>
            <w:r>
              <w:t>（4）未提供的，得0分。</w:t>
            </w:r>
          </w:p>
        </w:tc>
      </w:tr>
      <w:tr w14:paraId="3DB1BB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vMerge w:val="continue"/>
            <w:noWrap w:val="0"/>
            <w:vAlign w:val="top"/>
          </w:tcPr>
          <w:p w14:paraId="14AC5EF1">
            <w:pPr>
              <w:jc w:val="center"/>
            </w:pPr>
          </w:p>
        </w:tc>
        <w:tc>
          <w:tcPr>
            <w:tcW w:w="2145" w:type="dxa"/>
            <w:noWrap w:val="0"/>
            <w:vAlign w:val="center"/>
          </w:tcPr>
          <w:p w14:paraId="5F9FD36C">
            <w:pPr>
              <w:pStyle w:val="9"/>
              <w:numPr>
                <w:ilvl w:val="2"/>
                <w:numId w:val="0"/>
              </w:numPr>
              <w:rPr>
                <w:rFonts w:ascii="Times New Roman" w:hAnsi="Times New Roman" w:eastAsia="宋体"/>
                <w:b w:val="0"/>
                <w:sz w:val="21"/>
                <w:szCs w:val="22"/>
              </w:rPr>
            </w:pPr>
            <w:r>
              <w:rPr>
                <w:rFonts w:hint="eastAsia" w:ascii="Times New Roman" w:hAnsi="Times New Roman" w:eastAsia="宋体"/>
                <w:b w:val="0"/>
                <w:sz w:val="21"/>
                <w:szCs w:val="22"/>
              </w:rPr>
              <w:t>网络安全运营服务实施方案（20分）</w:t>
            </w:r>
          </w:p>
          <w:p w14:paraId="01EA44A4">
            <w:pPr>
              <w:jc w:val="center"/>
            </w:pPr>
          </w:p>
        </w:tc>
        <w:tc>
          <w:tcPr>
            <w:tcW w:w="6136" w:type="dxa"/>
            <w:noWrap w:val="0"/>
            <w:vAlign w:val="top"/>
          </w:tcPr>
          <w:p w14:paraId="5986CCE3">
            <w:pPr>
              <w:jc w:val="left"/>
            </w:pPr>
            <w:r>
              <w:t>根据投标人针对本项目的</w:t>
            </w:r>
            <w:r>
              <w:rPr>
                <w:rFonts w:hint="eastAsia"/>
              </w:rPr>
              <w:t>网络安全运营服务</w:t>
            </w:r>
            <w:r>
              <w:t>实施方案进行综合评分，包括但不限于①</w:t>
            </w:r>
            <w:r>
              <w:rPr>
                <w:rFonts w:hint="eastAsia"/>
              </w:rPr>
              <w:t>数据库审计服务，</w:t>
            </w:r>
            <w:r>
              <w:t>②</w:t>
            </w:r>
            <w:r>
              <w:rPr>
                <w:rFonts w:hint="eastAsia"/>
              </w:rPr>
              <w:t>虚拟日志审计服务，</w:t>
            </w:r>
            <w:r>
              <w:t>③</w:t>
            </w:r>
            <w:r>
              <w:rPr>
                <w:rFonts w:hint="eastAsia"/>
              </w:rPr>
              <w:t>WAF防护服务，④Web监测服务，⑤网络安全应急响应服务，⑥安全重保值守服务，</w:t>
            </w:r>
            <w:r>
              <w:t>以上</w:t>
            </w:r>
            <w:r>
              <w:rPr>
                <w:rFonts w:hint="eastAsia"/>
              </w:rPr>
              <w:t>6</w:t>
            </w:r>
            <w:r>
              <w:t>点每提供一点得</w:t>
            </w:r>
            <w:r>
              <w:rPr>
                <w:rFonts w:hint="eastAsia"/>
              </w:rPr>
              <w:t>2</w:t>
            </w:r>
            <w:r>
              <w:t>分，未提供不得分，在此基础上，专家根据各供应商的具体方案内容的整体合理性进行以下评审加分： （1）</w:t>
            </w:r>
            <w:r>
              <w:rPr>
                <w:rFonts w:hint="eastAsia"/>
              </w:rPr>
              <w:t>网络安全运营服务</w:t>
            </w:r>
            <w:r>
              <w:t>方案完全满足且优于采购需求的加</w:t>
            </w:r>
            <w:r>
              <w:rPr>
                <w:rFonts w:hint="eastAsia"/>
              </w:rPr>
              <w:t>8</w:t>
            </w:r>
            <w:r>
              <w:t>分； （2）</w:t>
            </w:r>
            <w:r>
              <w:rPr>
                <w:rFonts w:hint="eastAsia"/>
              </w:rPr>
              <w:t>网络安全运营服务</w:t>
            </w:r>
            <w:r>
              <w:t>实施方案完全满足采购需求的，且合理可行的，加</w:t>
            </w:r>
            <w:r>
              <w:rPr>
                <w:rFonts w:hint="eastAsia"/>
              </w:rPr>
              <w:t>5</w:t>
            </w:r>
            <w:r>
              <w:t>分； （3）</w:t>
            </w:r>
            <w:r>
              <w:rPr>
                <w:rFonts w:hint="eastAsia"/>
              </w:rPr>
              <w:t>网络安全运营服务</w:t>
            </w:r>
            <w:r>
              <w:t>实施方案基本满足采购需求的，加</w:t>
            </w:r>
            <w:r>
              <w:rPr>
                <w:rFonts w:hint="eastAsia"/>
              </w:rPr>
              <w:t>2</w:t>
            </w:r>
            <w:r>
              <w:t>分； （4）</w:t>
            </w:r>
            <w:r>
              <w:rPr>
                <w:rFonts w:hint="eastAsia"/>
              </w:rPr>
              <w:t>网络安全运营服务</w:t>
            </w:r>
            <w:r>
              <w:t>实施方案不满足采购需求的，加0分。</w:t>
            </w:r>
          </w:p>
        </w:tc>
      </w:tr>
      <w:tr w14:paraId="03D371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vMerge w:val="continue"/>
            <w:noWrap w:val="0"/>
            <w:vAlign w:val="top"/>
          </w:tcPr>
          <w:p w14:paraId="3A4B8E0E"/>
        </w:tc>
        <w:tc>
          <w:tcPr>
            <w:tcW w:w="2145" w:type="dxa"/>
            <w:noWrap w:val="0"/>
            <w:vAlign w:val="center"/>
          </w:tcPr>
          <w:p w14:paraId="1BCBA94A">
            <w:pPr>
              <w:jc w:val="center"/>
            </w:pPr>
            <w:r>
              <w:rPr>
                <w:rFonts w:hint="eastAsia"/>
              </w:rPr>
              <w:t>组织实施方案（5分）</w:t>
            </w:r>
          </w:p>
        </w:tc>
        <w:tc>
          <w:tcPr>
            <w:tcW w:w="6136" w:type="dxa"/>
            <w:noWrap w:val="0"/>
            <w:vAlign w:val="center"/>
          </w:tcPr>
          <w:p w14:paraId="4ED3B3C4">
            <w:pPr>
              <w:jc w:val="left"/>
            </w:pPr>
            <w:r>
              <w:rPr>
                <w:rFonts w:hint="eastAsia"/>
              </w:rPr>
              <w:t>根据供应商针对本项目的组织实施方案进行综合评分，包括但不限于①项目团队管理、内部组织管理方式及协调机制；②后勤保障。</w:t>
            </w:r>
            <w:r>
              <w:rPr>
                <w:rFonts w:hint="eastAsia"/>
              </w:rPr>
              <w:br w:type="textWrapping"/>
            </w:r>
            <w:r>
              <w:rPr>
                <w:rFonts w:hint="eastAsia"/>
              </w:rPr>
              <w:t>以上2点内容每提供一点得1分，未提供不得分，在此基础上，专家根据各供应商的具体方案内容的整体合理性进行以下评审加分：</w:t>
            </w:r>
            <w:r>
              <w:rPr>
                <w:rFonts w:hint="eastAsia"/>
              </w:rPr>
              <w:br w:type="textWrapping"/>
            </w:r>
            <w:r>
              <w:rPr>
                <w:rFonts w:hint="eastAsia"/>
              </w:rPr>
              <w:t xml:space="preserve">（1）组织实施方案完全满足且优于采购需求的加3分； </w:t>
            </w:r>
            <w:r>
              <w:rPr>
                <w:rFonts w:hint="eastAsia"/>
              </w:rPr>
              <w:br w:type="textWrapping"/>
            </w:r>
            <w:r>
              <w:rPr>
                <w:rFonts w:hint="eastAsia"/>
              </w:rPr>
              <w:t xml:space="preserve">（2）组织实施方案完全满足采购需求的，且合理可行的，加2分； </w:t>
            </w:r>
            <w:r>
              <w:rPr>
                <w:rFonts w:hint="eastAsia"/>
              </w:rPr>
              <w:br w:type="textWrapping"/>
            </w:r>
            <w:r>
              <w:rPr>
                <w:rFonts w:hint="eastAsia"/>
              </w:rPr>
              <w:t>（</w:t>
            </w:r>
            <w:r>
              <w:t>3</w:t>
            </w:r>
            <w:r>
              <w:rPr>
                <w:rFonts w:hint="eastAsia"/>
              </w:rPr>
              <w:t>）组织实施方案基本满足采购需求的，加1分。</w:t>
            </w:r>
          </w:p>
          <w:p w14:paraId="7FFE8BB6">
            <w:pPr>
              <w:jc w:val="left"/>
            </w:pPr>
            <w:r>
              <w:rPr>
                <w:rFonts w:hint="eastAsia"/>
              </w:rPr>
              <w:t>（4）组织实施方案不满足采购需求的，加0分。</w:t>
            </w:r>
          </w:p>
        </w:tc>
      </w:tr>
      <w:tr w14:paraId="6EFD68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vMerge w:val="continue"/>
            <w:noWrap w:val="0"/>
            <w:vAlign w:val="top"/>
          </w:tcPr>
          <w:p w14:paraId="5BE1520A"/>
        </w:tc>
        <w:tc>
          <w:tcPr>
            <w:tcW w:w="2145" w:type="dxa"/>
            <w:noWrap w:val="0"/>
            <w:vAlign w:val="center"/>
          </w:tcPr>
          <w:p w14:paraId="3615F008">
            <w:pPr>
              <w:snapToGrid w:val="0"/>
              <w:jc w:val="center"/>
            </w:pPr>
            <w:r>
              <w:rPr>
                <w:rFonts w:hint="eastAsia"/>
              </w:rPr>
              <w:t>质量保障措施方案（</w:t>
            </w:r>
            <w:r>
              <w:t>10</w:t>
            </w:r>
            <w:r>
              <w:rPr>
                <w:rFonts w:hint="eastAsia"/>
              </w:rPr>
              <w:t>分）</w:t>
            </w:r>
          </w:p>
        </w:tc>
        <w:tc>
          <w:tcPr>
            <w:tcW w:w="6136" w:type="dxa"/>
            <w:noWrap w:val="0"/>
            <w:vAlign w:val="center"/>
          </w:tcPr>
          <w:p w14:paraId="2DFE5C04">
            <w:pPr>
              <w:jc w:val="left"/>
            </w:pPr>
            <w:r>
              <w:rPr>
                <w:rFonts w:hint="eastAsia"/>
              </w:rPr>
              <w:t>根据供应商提供的质量保障措施方案进行评审，实施阶段的质量保障措施包括但不限于①全流程质量管控措施；②内部质检；③质量标准。</w:t>
            </w:r>
            <w:r>
              <w:br w:type="textWrapping"/>
            </w:r>
            <w:r>
              <w:rPr>
                <w:rFonts w:hint="eastAsia"/>
              </w:rPr>
              <w:t>以上</w:t>
            </w:r>
            <w:r>
              <w:t>3</w:t>
            </w:r>
            <w:r>
              <w:rPr>
                <w:rFonts w:hint="eastAsia"/>
              </w:rPr>
              <w:t>点内容每提供一点得</w:t>
            </w:r>
            <w:r>
              <w:t>1</w:t>
            </w:r>
            <w:r>
              <w:rPr>
                <w:rFonts w:hint="eastAsia"/>
              </w:rPr>
              <w:t>分，未提供不得分，在此基础上，专家根据各供应商的具体方案内容的整体合理性进行以下评审加分：</w:t>
            </w:r>
            <w:r>
              <w:br w:type="textWrapping"/>
            </w:r>
            <w:r>
              <w:rPr>
                <w:rFonts w:hint="eastAsia"/>
              </w:rPr>
              <w:t>（</w:t>
            </w:r>
            <w:r>
              <w:t>1</w:t>
            </w:r>
            <w:r>
              <w:rPr>
                <w:rFonts w:hint="eastAsia"/>
              </w:rPr>
              <w:t>）质量保障措施完全满足且优于采购需求的加</w:t>
            </w:r>
            <w:r>
              <w:t>7</w:t>
            </w:r>
            <w:r>
              <w:rPr>
                <w:rFonts w:hint="eastAsia"/>
              </w:rPr>
              <w:t>分；</w:t>
            </w:r>
            <w:r>
              <w:t xml:space="preserve"> </w:t>
            </w:r>
            <w:r>
              <w:br w:type="textWrapping"/>
            </w:r>
            <w:r>
              <w:rPr>
                <w:rFonts w:hint="eastAsia"/>
              </w:rPr>
              <w:t>（</w:t>
            </w:r>
            <w:r>
              <w:t>2</w:t>
            </w:r>
            <w:r>
              <w:rPr>
                <w:rFonts w:hint="eastAsia"/>
              </w:rPr>
              <w:t>）质量保障措施完全满足采购需求的，且合理可行的，加</w:t>
            </w:r>
            <w:r>
              <w:t>4</w:t>
            </w:r>
            <w:r>
              <w:rPr>
                <w:rFonts w:hint="eastAsia"/>
              </w:rPr>
              <w:t>分；</w:t>
            </w:r>
            <w:r>
              <w:t xml:space="preserve"> </w:t>
            </w:r>
            <w:r>
              <w:br w:type="textWrapping"/>
            </w:r>
            <w:r>
              <w:rPr>
                <w:rFonts w:hint="eastAsia"/>
              </w:rPr>
              <w:t>（</w:t>
            </w:r>
            <w:r>
              <w:t>3</w:t>
            </w:r>
            <w:r>
              <w:rPr>
                <w:rFonts w:hint="eastAsia"/>
              </w:rPr>
              <w:t>）质量保障措施基本满足采购需求的，且合理可行的，加</w:t>
            </w:r>
            <w:r>
              <w:t>1</w:t>
            </w:r>
            <w:r>
              <w:rPr>
                <w:rFonts w:hint="eastAsia"/>
              </w:rPr>
              <w:t>分；</w:t>
            </w:r>
            <w:r>
              <w:t xml:space="preserve"> </w:t>
            </w:r>
          </w:p>
          <w:p w14:paraId="3627AFFE">
            <w:pPr>
              <w:jc w:val="left"/>
            </w:pPr>
            <w:r>
              <w:rPr>
                <w:rFonts w:hint="eastAsia"/>
              </w:rPr>
              <w:t>（</w:t>
            </w:r>
            <w:r>
              <w:t>4</w:t>
            </w:r>
            <w:r>
              <w:rPr>
                <w:rFonts w:hint="eastAsia"/>
              </w:rPr>
              <w:t>）质量保障措施不满足采购需求的，加</w:t>
            </w:r>
            <w:r>
              <w:t>0</w:t>
            </w:r>
            <w:r>
              <w:rPr>
                <w:rFonts w:hint="eastAsia"/>
              </w:rPr>
              <w:t>分。</w:t>
            </w:r>
          </w:p>
        </w:tc>
      </w:tr>
      <w:tr w14:paraId="2837E5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vMerge w:val="continue"/>
            <w:noWrap w:val="0"/>
            <w:vAlign w:val="top"/>
          </w:tcPr>
          <w:p w14:paraId="347AA7EF"/>
        </w:tc>
        <w:tc>
          <w:tcPr>
            <w:tcW w:w="2145" w:type="dxa"/>
            <w:noWrap w:val="0"/>
            <w:vAlign w:val="center"/>
          </w:tcPr>
          <w:p w14:paraId="2A9D8F63">
            <w:pPr>
              <w:snapToGrid w:val="0"/>
              <w:jc w:val="center"/>
            </w:pPr>
            <w:r>
              <w:rPr>
                <w:rFonts w:hint="eastAsia"/>
              </w:rPr>
              <w:t>服务响应方案（</w:t>
            </w:r>
            <w:r>
              <w:t>5</w:t>
            </w:r>
            <w:r>
              <w:rPr>
                <w:rFonts w:hint="eastAsia"/>
              </w:rPr>
              <w:t>分）</w:t>
            </w:r>
          </w:p>
        </w:tc>
        <w:tc>
          <w:tcPr>
            <w:tcW w:w="6136" w:type="dxa"/>
            <w:noWrap w:val="0"/>
            <w:vAlign w:val="center"/>
          </w:tcPr>
          <w:p w14:paraId="376AD1C2">
            <w:pPr>
              <w:snapToGrid w:val="0"/>
            </w:pPr>
            <w:r>
              <w:rPr>
                <w:rFonts w:hint="eastAsia"/>
              </w:rPr>
              <w:t>根据供应商针对本项目的服务响应方案进行综合评分：</w:t>
            </w:r>
            <w:r>
              <w:br w:type="textWrapping"/>
            </w:r>
            <w:r>
              <w:rPr>
                <w:rFonts w:hint="eastAsia"/>
              </w:rPr>
              <w:t>（</w:t>
            </w:r>
            <w:r>
              <w:t>1</w:t>
            </w:r>
            <w:r>
              <w:rPr>
                <w:rFonts w:hint="eastAsia"/>
              </w:rPr>
              <w:t>）服务响应方案完全满足且优于采购需求的加</w:t>
            </w:r>
            <w:r>
              <w:t>5</w:t>
            </w:r>
            <w:r>
              <w:rPr>
                <w:rFonts w:hint="eastAsia"/>
              </w:rPr>
              <w:t>分；</w:t>
            </w:r>
            <w:r>
              <w:t xml:space="preserve"> </w:t>
            </w:r>
            <w:r>
              <w:br w:type="textWrapping"/>
            </w:r>
            <w:r>
              <w:rPr>
                <w:rFonts w:hint="eastAsia"/>
              </w:rPr>
              <w:t>（</w:t>
            </w:r>
            <w:r>
              <w:t>2</w:t>
            </w:r>
            <w:r>
              <w:rPr>
                <w:rFonts w:hint="eastAsia"/>
              </w:rPr>
              <w:t>）服务响应方案完全满足采购需求的，且合理可行的，加</w:t>
            </w:r>
            <w:r>
              <w:t>3</w:t>
            </w:r>
            <w:r>
              <w:rPr>
                <w:rFonts w:hint="eastAsia"/>
              </w:rPr>
              <w:t>分；</w:t>
            </w:r>
            <w:r>
              <w:t xml:space="preserve"> </w:t>
            </w:r>
            <w:r>
              <w:br w:type="textWrapping"/>
            </w:r>
            <w:r>
              <w:rPr>
                <w:rFonts w:hint="eastAsia"/>
              </w:rPr>
              <w:t>（</w:t>
            </w:r>
            <w:r>
              <w:t>3</w:t>
            </w:r>
            <w:r>
              <w:rPr>
                <w:rFonts w:hint="eastAsia"/>
              </w:rPr>
              <w:t>）服务响应方案基本满足采购需求的，加</w:t>
            </w:r>
            <w:r>
              <w:t>1</w:t>
            </w:r>
            <w:r>
              <w:rPr>
                <w:rFonts w:hint="eastAsia"/>
              </w:rPr>
              <w:t>分。</w:t>
            </w:r>
          </w:p>
          <w:p w14:paraId="27875537">
            <w:pPr>
              <w:snapToGrid w:val="0"/>
            </w:pPr>
            <w:r>
              <w:rPr>
                <w:rFonts w:hint="eastAsia"/>
              </w:rPr>
              <w:t>（</w:t>
            </w:r>
            <w:r>
              <w:t>4</w:t>
            </w:r>
            <w:r>
              <w:rPr>
                <w:rFonts w:hint="eastAsia"/>
              </w:rPr>
              <w:t>）服务响应方案不满足采购需求的，加</w:t>
            </w:r>
            <w:r>
              <w:t>0</w:t>
            </w:r>
            <w:r>
              <w:rPr>
                <w:rFonts w:hint="eastAsia"/>
              </w:rPr>
              <w:t>分。</w:t>
            </w:r>
          </w:p>
        </w:tc>
      </w:tr>
      <w:tr w14:paraId="0AF504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vMerge w:val="restart"/>
            <w:noWrap w:val="0"/>
            <w:vAlign w:val="top"/>
          </w:tcPr>
          <w:p w14:paraId="78900E49">
            <w:pPr>
              <w:jc w:val="center"/>
            </w:pPr>
            <w:r>
              <w:t>商务部分</w:t>
            </w:r>
          </w:p>
        </w:tc>
        <w:tc>
          <w:tcPr>
            <w:tcW w:w="2145" w:type="dxa"/>
            <w:noWrap w:val="0"/>
            <w:vAlign w:val="center"/>
          </w:tcPr>
          <w:p w14:paraId="02B59666">
            <w:pPr>
              <w:jc w:val="center"/>
            </w:pPr>
            <w:r>
              <w:t xml:space="preserve">投标人资质情况 </w:t>
            </w:r>
            <w:r>
              <w:rPr>
                <w:rFonts w:hint="eastAsia"/>
              </w:rPr>
              <w:t>（</w:t>
            </w:r>
            <w:r>
              <w:t>4.0分</w:t>
            </w:r>
            <w:r>
              <w:rPr>
                <w:rFonts w:hint="eastAsia"/>
              </w:rPr>
              <w:t>）</w:t>
            </w:r>
          </w:p>
        </w:tc>
        <w:tc>
          <w:tcPr>
            <w:tcW w:w="6136" w:type="dxa"/>
            <w:noWrap w:val="0"/>
            <w:vAlign w:val="top"/>
          </w:tcPr>
          <w:p w14:paraId="2B5BE08E">
            <w:pPr>
              <w:jc w:val="left"/>
            </w:pPr>
            <w:r>
              <w:t xml:space="preserve">考察投标人有效期内资质情况，每提供1项得1分，满分4分。 </w:t>
            </w:r>
          </w:p>
          <w:p w14:paraId="1606262B">
            <w:pPr>
              <w:jc w:val="left"/>
            </w:pPr>
            <w:r>
              <w:t xml:space="preserve">1.ISO9001质量管理体系认证证书；提供认证证书扫描件并须同时提供在全国认证认可信息公共服务平台（http://cx.cnca.cn/）对体系证书的信息查询截图作为评审依据，已暂停、失效或撤销的不得分。投标人因成立时间不足3个月的，可对应得分。 </w:t>
            </w:r>
          </w:p>
          <w:p w14:paraId="476819F8">
            <w:pPr>
              <w:jc w:val="left"/>
            </w:pPr>
            <w:r>
              <w:t xml:space="preserve">2.中国网络安全审查技术与认证中心颁发的信息安全服务资质认证证书（信息安全风险评估）；提供认证证书扫描件。投标人因成立时间不足6个月的，可对应得分。 </w:t>
            </w:r>
          </w:p>
          <w:p w14:paraId="3C2C0A12">
            <w:pPr>
              <w:jc w:val="left"/>
            </w:pPr>
            <w:r>
              <w:t xml:space="preserve">3.中国网络安全审查技术与认证中心颁发的信息安全服务资质认证证书（信息系统安全运维）；提供认证证书扫描件。投标人因成立时间不足6个月的，可对应得分。 </w:t>
            </w:r>
          </w:p>
          <w:p w14:paraId="6829CCD8">
            <w:pPr>
              <w:jc w:val="left"/>
            </w:pPr>
            <w:r>
              <w:t>4.具备ITSS信息技术服务标准符合性证书（业务领域：数据中心）；提供认证证书扫描件。投标人因成立时间不足一年的，可对应得分。</w:t>
            </w:r>
          </w:p>
        </w:tc>
      </w:tr>
      <w:tr w14:paraId="679C29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vMerge w:val="continue"/>
            <w:noWrap w:val="0"/>
            <w:vAlign w:val="top"/>
          </w:tcPr>
          <w:p w14:paraId="78138F71"/>
        </w:tc>
        <w:tc>
          <w:tcPr>
            <w:tcW w:w="2145" w:type="dxa"/>
            <w:noWrap w:val="0"/>
            <w:vAlign w:val="center"/>
          </w:tcPr>
          <w:p w14:paraId="11EF0E08">
            <w:pPr>
              <w:jc w:val="center"/>
            </w:pPr>
            <w:r>
              <w:t xml:space="preserve">投标人技术能力 </w:t>
            </w:r>
            <w:r>
              <w:rPr>
                <w:rFonts w:hint="eastAsia"/>
              </w:rPr>
              <w:t>（5</w:t>
            </w:r>
            <w:r>
              <w:t>.0分</w:t>
            </w:r>
            <w:r>
              <w:rPr>
                <w:rFonts w:hint="eastAsia"/>
              </w:rPr>
              <w:t>）</w:t>
            </w:r>
          </w:p>
        </w:tc>
        <w:tc>
          <w:tcPr>
            <w:tcW w:w="6136" w:type="dxa"/>
            <w:noWrap w:val="0"/>
            <w:vAlign w:val="top"/>
          </w:tcPr>
          <w:p w14:paraId="3C9A123F">
            <w:pPr>
              <w:jc w:val="left"/>
            </w:pPr>
            <w:r>
              <w:t>投标</w:t>
            </w:r>
            <w:r>
              <w:rPr>
                <w:color w:val="000000"/>
              </w:rPr>
              <w:t>人能提供政务信息化相关的计算机软件著作权登记证书</w:t>
            </w:r>
            <w:r>
              <w:rPr>
                <w:rFonts w:hint="eastAsia"/>
                <w:color w:val="000000"/>
              </w:rPr>
              <w:t>，</w:t>
            </w:r>
            <w:r>
              <w:rPr>
                <w:color w:val="000000"/>
              </w:rPr>
              <w:t>每提供1</w:t>
            </w:r>
            <w:r>
              <w:rPr>
                <w:rFonts w:hint="eastAsia"/>
                <w:color w:val="000000"/>
              </w:rPr>
              <w:t>项</w:t>
            </w:r>
            <w:r>
              <w:rPr>
                <w:color w:val="000000"/>
              </w:rPr>
              <w:t>得1分，满分</w:t>
            </w:r>
            <w:r>
              <w:rPr>
                <w:rFonts w:hint="eastAsia"/>
                <w:color w:val="000000"/>
              </w:rPr>
              <w:t>5</w:t>
            </w:r>
            <w:r>
              <w:rPr>
                <w:color w:val="000000"/>
              </w:rPr>
              <w:t>分。说明：应提供以上软件</w:t>
            </w:r>
            <w:r>
              <w:t>著作权证书复印件并加盖投标人公章。</w:t>
            </w:r>
          </w:p>
        </w:tc>
      </w:tr>
      <w:tr w14:paraId="190321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vMerge w:val="continue"/>
            <w:noWrap w:val="0"/>
            <w:vAlign w:val="top"/>
          </w:tcPr>
          <w:p w14:paraId="3CD91D4B"/>
        </w:tc>
        <w:tc>
          <w:tcPr>
            <w:tcW w:w="2145" w:type="dxa"/>
            <w:noWrap w:val="0"/>
            <w:vAlign w:val="center"/>
          </w:tcPr>
          <w:p w14:paraId="04C4518F">
            <w:pPr>
              <w:jc w:val="center"/>
            </w:pPr>
            <w:r>
              <w:t xml:space="preserve">拟投入本项目团队人员 </w:t>
            </w:r>
            <w:r>
              <w:rPr>
                <w:rFonts w:hint="eastAsia"/>
              </w:rPr>
              <w:t>（</w:t>
            </w:r>
            <w:r>
              <w:t>6.0分</w:t>
            </w:r>
            <w:r>
              <w:rPr>
                <w:rFonts w:hint="eastAsia"/>
              </w:rPr>
              <w:t>）</w:t>
            </w:r>
          </w:p>
        </w:tc>
        <w:tc>
          <w:tcPr>
            <w:tcW w:w="6136" w:type="dxa"/>
            <w:noWrap w:val="0"/>
            <w:vAlign w:val="top"/>
          </w:tcPr>
          <w:p w14:paraId="2F6824E6">
            <w:pPr>
              <w:jc w:val="left"/>
            </w:pPr>
            <w:r>
              <w:t>投标人拟安排投入本项目的主要技术人员团队（含总负责人/项目经理）应具备以下资质，具体评分如下：</w:t>
            </w:r>
          </w:p>
          <w:p w14:paraId="617DE096">
            <w:pPr>
              <w:jc w:val="left"/>
            </w:pPr>
            <w:r>
              <w:t>（</w:t>
            </w:r>
            <w:r>
              <w:rPr>
                <w:rFonts w:hint="eastAsia"/>
              </w:rPr>
              <w:t>1</w:t>
            </w:r>
            <w:r>
              <w:t>）网络安全与实施类人员资质：网络工程师、注册信息安全专业人员（CISP）证书或信息安全保障人员认证（CISAW</w:t>
            </w:r>
            <w:r>
              <w:rPr>
                <w:rFonts w:hint="eastAsia"/>
              </w:rPr>
              <w:t>）</w:t>
            </w:r>
            <w:r>
              <w:t>证书或信息安全工程师证</w:t>
            </w:r>
            <w:r>
              <w:rPr>
                <w:color w:val="000000"/>
              </w:rPr>
              <w:t>书，提供一个得</w:t>
            </w:r>
            <w:r>
              <w:rPr>
                <w:rFonts w:hint="eastAsia"/>
                <w:color w:val="000000"/>
              </w:rPr>
              <w:t>3</w:t>
            </w:r>
            <w:r>
              <w:rPr>
                <w:color w:val="000000"/>
              </w:rPr>
              <w:t>分，满分</w:t>
            </w:r>
            <w:r>
              <w:rPr>
                <w:rFonts w:hint="eastAsia"/>
                <w:color w:val="000000"/>
              </w:rPr>
              <w:t>6</w:t>
            </w:r>
            <w:r>
              <w:rPr>
                <w:color w:val="000000"/>
              </w:rPr>
              <w:t>分；</w:t>
            </w:r>
          </w:p>
          <w:p w14:paraId="167C224F">
            <w:pPr>
              <w:jc w:val="left"/>
            </w:pPr>
            <w:r>
              <w:t>说明：按照具备以上资质之一的人员数量进行计算，一人多证者仅计算一次，不得重复计分，以最高得分计算。应提供以上人员相关证明资料复印件并加盖公章，并提供以上人员在本公司任职的有效外部证明材料（如加盖政府有关部门印章的202</w:t>
            </w:r>
            <w:r>
              <w:rPr>
                <w:rFonts w:hint="eastAsia"/>
              </w:rPr>
              <w:t>4</w:t>
            </w:r>
            <w:r>
              <w:t>年</w:t>
            </w:r>
            <w:r>
              <w:rPr>
                <w:rFonts w:hint="eastAsia"/>
              </w:rPr>
              <w:t>1</w:t>
            </w:r>
            <w:r>
              <w:t>月以来任意一个月的《投保单》或《社会保险参保人员证明》，或单位代缴个人所得税税单等，事业法人的相关人员应提供该单位的相关证明）复印件。为方便评委会评审，请投标人将同一人员的证明材料连续叠放，即叠放完A人员的资质证明及社保证明（或税单或投标单）后，再叠放B人员的资质。</w:t>
            </w:r>
          </w:p>
        </w:tc>
      </w:tr>
      <w:tr w14:paraId="5E5289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vMerge w:val="continue"/>
            <w:noWrap w:val="0"/>
            <w:vAlign w:val="top"/>
          </w:tcPr>
          <w:p w14:paraId="47C2BA26"/>
        </w:tc>
        <w:tc>
          <w:tcPr>
            <w:tcW w:w="2145" w:type="dxa"/>
            <w:noWrap w:val="0"/>
            <w:vAlign w:val="center"/>
          </w:tcPr>
          <w:p w14:paraId="320791FD">
            <w:pPr>
              <w:jc w:val="center"/>
            </w:pPr>
            <w:r>
              <w:t xml:space="preserve">投标人同类项目经验 </w:t>
            </w:r>
            <w:r>
              <w:rPr>
                <w:rFonts w:hint="eastAsia"/>
              </w:rPr>
              <w:t>（</w:t>
            </w:r>
            <w:r>
              <w:t>1</w:t>
            </w:r>
            <w:r>
              <w:rPr>
                <w:rFonts w:hint="eastAsia"/>
              </w:rPr>
              <w:t>5</w:t>
            </w:r>
            <w:r>
              <w:t>.0分</w:t>
            </w:r>
            <w:r>
              <w:rPr>
                <w:rFonts w:hint="eastAsia"/>
              </w:rPr>
              <w:t>）</w:t>
            </w:r>
          </w:p>
        </w:tc>
        <w:tc>
          <w:tcPr>
            <w:tcW w:w="6136" w:type="dxa"/>
            <w:noWrap w:val="0"/>
            <w:vAlign w:val="top"/>
          </w:tcPr>
          <w:p w14:paraId="37A385D5">
            <w:pPr>
              <w:jc w:val="left"/>
            </w:pPr>
            <w:r>
              <w:t>202</w:t>
            </w:r>
            <w:r>
              <w:rPr>
                <w:rFonts w:hint="eastAsia"/>
              </w:rPr>
              <w:t>1</w:t>
            </w:r>
            <w:r>
              <w:t>年以来，投标人具有相关项目经验</w:t>
            </w:r>
            <w:r>
              <w:rPr>
                <w:rFonts w:hint="eastAsia"/>
              </w:rPr>
              <w:t>。</w:t>
            </w:r>
          </w:p>
          <w:p w14:paraId="531575F1">
            <w:pPr>
              <w:jc w:val="left"/>
              <w:rPr>
                <w:color w:val="000000"/>
              </w:rPr>
            </w:pPr>
            <w:r>
              <w:rPr>
                <w:color w:val="000000"/>
              </w:rPr>
              <w:t>提供</w:t>
            </w:r>
            <w:r>
              <w:rPr>
                <w:rFonts w:hint="eastAsia"/>
                <w:color w:val="000000"/>
              </w:rPr>
              <w:t>信息系统运营</w:t>
            </w:r>
            <w:r>
              <w:rPr>
                <w:color w:val="000000"/>
              </w:rPr>
              <w:t>类项目案例</w:t>
            </w:r>
            <w:r>
              <w:rPr>
                <w:rFonts w:hint="eastAsia"/>
                <w:color w:val="000000"/>
              </w:rPr>
              <w:t>：</w:t>
            </w:r>
          </w:p>
          <w:p w14:paraId="1F8368BA">
            <w:pPr>
              <w:jc w:val="left"/>
              <w:rPr>
                <w:color w:val="000000"/>
              </w:rPr>
            </w:pPr>
            <w:r>
              <w:rPr>
                <w:rFonts w:hint="eastAsia"/>
                <w:color w:val="000000"/>
              </w:rPr>
              <w:t>（1）具备网络安全运营</w:t>
            </w:r>
            <w:r>
              <w:rPr>
                <w:color w:val="000000"/>
              </w:rPr>
              <w:t>相关</w:t>
            </w:r>
            <w:r>
              <w:rPr>
                <w:rFonts w:hint="eastAsia"/>
                <w:color w:val="000000"/>
              </w:rPr>
              <w:t>系统运营</w:t>
            </w:r>
            <w:r>
              <w:rPr>
                <w:color w:val="000000"/>
              </w:rPr>
              <w:t>案例（合同名称或服务内容需包含“</w:t>
            </w:r>
            <w:r>
              <w:rPr>
                <w:rFonts w:hint="eastAsia"/>
                <w:color w:val="000000"/>
              </w:rPr>
              <w:t>网络安全</w:t>
            </w:r>
            <w:r>
              <w:rPr>
                <w:color w:val="000000"/>
              </w:rPr>
              <w:t>”关键字）</w:t>
            </w:r>
            <w:r>
              <w:rPr>
                <w:rFonts w:hint="eastAsia"/>
                <w:color w:val="000000"/>
              </w:rPr>
              <w:t>,</w:t>
            </w:r>
            <w:r>
              <w:rPr>
                <w:color w:val="000000"/>
              </w:rPr>
              <w:t>每提供一个得</w:t>
            </w:r>
            <w:r>
              <w:rPr>
                <w:rFonts w:hint="eastAsia"/>
                <w:color w:val="000000"/>
              </w:rPr>
              <w:t>1</w:t>
            </w:r>
            <w:r>
              <w:rPr>
                <w:color w:val="000000"/>
              </w:rPr>
              <w:t>分，满分</w:t>
            </w:r>
            <w:r>
              <w:rPr>
                <w:rFonts w:hint="eastAsia"/>
                <w:color w:val="000000"/>
              </w:rPr>
              <w:t>15</w:t>
            </w:r>
            <w:r>
              <w:rPr>
                <w:color w:val="000000"/>
              </w:rPr>
              <w:t>分</w:t>
            </w:r>
            <w:r>
              <w:rPr>
                <w:rFonts w:hint="eastAsia"/>
                <w:color w:val="000000"/>
              </w:rPr>
              <w:t>；</w:t>
            </w:r>
            <w:r>
              <w:rPr>
                <w:color w:val="000000"/>
              </w:rPr>
              <w:t xml:space="preserve"> </w:t>
            </w:r>
          </w:p>
          <w:p w14:paraId="6726B32F">
            <w:pPr>
              <w:jc w:val="left"/>
            </w:pPr>
            <w:r>
              <w:rPr>
                <w:color w:val="000000"/>
              </w:rPr>
              <w:t>说明：须提供</w:t>
            </w:r>
            <w:r>
              <w:t>合同关键页（关键页包括但不限于合同封面、合同服务内容、合同金额、盖章页等）作为证明材料；如合同不涉及相关关键字，须提供甲方出具的证明材料。以上业绩如涉及多类案例，不重复记分，以最高得分计算；多份文件时间不一致的，以任一文件时间满足即视为满足时间要求。</w:t>
            </w:r>
          </w:p>
        </w:tc>
      </w:tr>
      <w:tr w14:paraId="2AD937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69" w:type="dxa"/>
            <w:noWrap w:val="0"/>
            <w:vAlign w:val="center"/>
          </w:tcPr>
          <w:p w14:paraId="1C6CA9B0">
            <w:pPr>
              <w:jc w:val="center"/>
            </w:pPr>
            <w:r>
              <w:t>投标报价</w:t>
            </w:r>
          </w:p>
        </w:tc>
        <w:tc>
          <w:tcPr>
            <w:tcW w:w="2145" w:type="dxa"/>
            <w:noWrap w:val="0"/>
            <w:vAlign w:val="center"/>
          </w:tcPr>
          <w:p w14:paraId="7298DF2F">
            <w:pPr>
              <w:jc w:val="center"/>
            </w:pPr>
            <w:r>
              <w:t xml:space="preserve">投标报价得分 </w:t>
            </w:r>
            <w:r>
              <w:rPr>
                <w:rFonts w:hint="eastAsia"/>
              </w:rPr>
              <w:t>（</w:t>
            </w:r>
            <w:r>
              <w:t>10.0分</w:t>
            </w:r>
            <w:r>
              <w:rPr>
                <w:rFonts w:hint="eastAsia"/>
              </w:rPr>
              <w:t>）</w:t>
            </w:r>
          </w:p>
        </w:tc>
        <w:tc>
          <w:tcPr>
            <w:tcW w:w="6136" w:type="dxa"/>
            <w:noWrap w:val="0"/>
            <w:vAlign w:val="top"/>
          </w:tcPr>
          <w:p w14:paraId="2524719E">
            <w:pPr>
              <w:jc w:val="left"/>
            </w:pPr>
            <w: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14:paraId="1070648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2000000000000000000"/>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44B4D"/>
    <w:multiLevelType w:val="multilevel"/>
    <w:tmpl w:val="04544B4D"/>
    <w:lvl w:ilvl="0" w:tentative="0">
      <w:start w:val="1"/>
      <w:numFmt w:val="decimal"/>
      <w:pStyle w:val="7"/>
      <w:lvlText w:val="%1."/>
      <w:lvlJc w:val="left"/>
      <w:pPr>
        <w:ind w:left="425" w:hanging="425"/>
      </w:pPr>
      <w:rPr>
        <w:rFonts w:hint="default" w:ascii="Times New Roman" w:hAnsi="Times New Roman" w:cs="Times New Roman"/>
      </w:rPr>
    </w:lvl>
    <w:lvl w:ilvl="1" w:tentative="0">
      <w:start w:val="1"/>
      <w:numFmt w:val="decimal"/>
      <w:pStyle w:val="8"/>
      <w:lvlText w:val="%1.%2."/>
      <w:lvlJc w:val="left"/>
      <w:pPr>
        <w:ind w:left="567" w:hanging="567"/>
      </w:pPr>
      <w:rPr>
        <w:rFonts w:hint="default" w:ascii="Times New Roman" w:hAnsi="Times New Roman" w:cs="Times New Roman"/>
      </w:rPr>
    </w:lvl>
    <w:lvl w:ilvl="2" w:tentative="0">
      <w:start w:val="1"/>
      <w:numFmt w:val="decimal"/>
      <w:pStyle w:val="9"/>
      <w:lvlText w:val="%1.%2.%3."/>
      <w:lvlJc w:val="left"/>
      <w:pPr>
        <w:ind w:left="709" w:hanging="709"/>
      </w:pPr>
      <w:rPr>
        <w:rFonts w:hint="default" w:ascii="Times New Roman" w:hAnsi="Times New Roman" w:cs="Times New Roman"/>
        <w:b w:val="0"/>
        <w:bCs/>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C4E5FB8"/>
    <w:rsid w:val="0CC506C3"/>
    <w:rsid w:val="16126872"/>
    <w:rsid w:val="1FBB6B5F"/>
    <w:rsid w:val="24D446E0"/>
    <w:rsid w:val="27393621"/>
    <w:rsid w:val="2CE74C51"/>
    <w:rsid w:val="40466DA3"/>
    <w:rsid w:val="42254AB8"/>
    <w:rsid w:val="44F27B47"/>
    <w:rsid w:val="56F6212C"/>
    <w:rsid w:val="5C6D77C6"/>
    <w:rsid w:val="68FD1BBF"/>
    <w:rsid w:val="6E530CFA"/>
    <w:rsid w:val="72CA6102"/>
    <w:rsid w:val="7C5E1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kern w:val="0"/>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character" w:styleId="6">
    <w:name w:val="page number"/>
    <w:qFormat/>
    <w:uiPriority w:val="0"/>
  </w:style>
  <w:style w:type="paragraph" w:customStyle="1" w:styleId="7">
    <w:name w:val="一级标题"/>
    <w:basedOn w:val="1"/>
    <w:qFormat/>
    <w:uiPriority w:val="0"/>
    <w:pPr>
      <w:numPr>
        <w:ilvl w:val="0"/>
        <w:numId w:val="1"/>
      </w:numPr>
      <w:jc w:val="left"/>
      <w:outlineLvl w:val="0"/>
    </w:pPr>
    <w:rPr>
      <w:rFonts w:ascii="黑体" w:hAnsi="宋体" w:eastAsia="黑体"/>
      <w:sz w:val="30"/>
      <w:szCs w:val="30"/>
    </w:rPr>
  </w:style>
  <w:style w:type="paragraph" w:customStyle="1" w:styleId="8">
    <w:name w:val="二级标题"/>
    <w:basedOn w:val="1"/>
    <w:qFormat/>
    <w:uiPriority w:val="0"/>
    <w:pPr>
      <w:numPr>
        <w:ilvl w:val="1"/>
        <w:numId w:val="1"/>
      </w:numPr>
      <w:jc w:val="left"/>
      <w:outlineLvl w:val="1"/>
    </w:pPr>
    <w:rPr>
      <w:rFonts w:ascii="楷体_GB2312" w:hAnsi="华文楷体" w:eastAsia="楷体_GB2312"/>
      <w:bCs/>
      <w:sz w:val="28"/>
      <w:szCs w:val="28"/>
    </w:rPr>
  </w:style>
  <w:style w:type="paragraph" w:customStyle="1" w:styleId="9">
    <w:name w:val="三级标题"/>
    <w:basedOn w:val="1"/>
    <w:qFormat/>
    <w:uiPriority w:val="0"/>
    <w:pPr>
      <w:numPr>
        <w:ilvl w:val="2"/>
        <w:numId w:val="1"/>
      </w:numPr>
      <w:jc w:val="left"/>
      <w:outlineLvl w:val="2"/>
    </w:pPr>
    <w:rPr>
      <w:rFonts w:ascii="仿宋_GB2312" w:hAnsi="仿宋" w:eastAsia="仿宋_GB2312"/>
      <w:b/>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2024-10-25T01:26:01Z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C42FD10F82C64A8FB1B5285086539BC8_12</vt:lpwstr>
  </property>
</Properties>
</file>