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DB7F67">
      <w:pPr>
        <w:spacing w:line="0" w:lineRule="atLeast"/>
        <w:ind w:left="-141" w:leftChars="-67" w:firstLine="167" w:firstLineChars="38"/>
        <w:jc w:val="center"/>
        <w:outlineLvl w:val="9"/>
        <w:rPr>
          <w:rFonts w:hint="eastAsia" w:ascii="华文中宋" w:hAnsi="华文中宋" w:eastAsia="华文中宋" w:cs="方正小标宋简体"/>
          <w:b/>
          <w:bCs/>
          <w:kern w:val="0"/>
          <w:sz w:val="44"/>
          <w:szCs w:val="44"/>
        </w:rPr>
      </w:pPr>
      <w:r>
        <w:rPr>
          <w:rFonts w:hint="eastAsia" w:ascii="华文中宋" w:hAnsi="华文中宋" w:eastAsia="华文中宋" w:cs="方正小标宋简体"/>
          <w:b/>
          <w:bCs/>
          <w:kern w:val="0"/>
          <w:sz w:val="44"/>
          <w:szCs w:val="44"/>
        </w:rPr>
        <w:t>项目采购需求</w:t>
      </w:r>
    </w:p>
    <w:p w14:paraId="11D25961">
      <w:pPr>
        <w:jc w:val="left"/>
        <w:rPr>
          <w:rFonts w:hint="eastAsia" w:ascii="楷体_GB2312" w:hAnsi="楷体_GB2312" w:eastAsia="楷体_GB2312" w:cs="楷体_GB2312"/>
          <w:sz w:val="28"/>
          <w:szCs w:val="32"/>
        </w:rPr>
      </w:pPr>
    </w:p>
    <w:p w14:paraId="0354DD26">
      <w:pPr>
        <w:pStyle w:val="7"/>
        <w:adjustRightInd w:val="0"/>
        <w:snapToGrid w:val="0"/>
        <w:spacing w:line="560" w:lineRule="exact"/>
        <w:jc w:val="both"/>
        <w:rPr>
          <w:rFonts w:hint="eastAsia" w:ascii="Times New Roman" w:hAnsi="Times New Roman" w:eastAsia="黑体" w:cs="Times New Roman"/>
          <w:kern w:val="0"/>
        </w:rPr>
      </w:pPr>
      <w:r>
        <w:rPr>
          <w:rFonts w:hint="eastAsia" w:ascii="Times New Roman" w:hAnsi="Times New Roman" w:eastAsia="黑体" w:cs="Times New Roman"/>
          <w:kern w:val="0"/>
        </w:rPr>
        <w:t>项目概况</w:t>
      </w:r>
    </w:p>
    <w:p w14:paraId="42FAC951">
      <w:pPr>
        <w:pStyle w:val="8"/>
        <w:rPr>
          <w:rFonts w:ascii="仿宋" w:hAnsi="仿宋" w:eastAsia="仿宋"/>
        </w:rPr>
      </w:pPr>
      <w:r>
        <w:rPr>
          <w:rFonts w:ascii="仿宋" w:hAnsi="仿宋" w:eastAsia="仿宋"/>
        </w:rPr>
        <w:t>基本信息</w:t>
      </w:r>
    </w:p>
    <w:p w14:paraId="3E315DAA">
      <w:pPr>
        <w:pStyle w:val="9"/>
        <w:rPr>
          <w:rFonts w:ascii="仿宋" w:hAnsi="仿宋" w:eastAsia="仿宋"/>
        </w:rPr>
      </w:pPr>
      <w:r>
        <w:rPr>
          <w:rFonts w:ascii="仿宋" w:hAnsi="仿宋" w:eastAsia="仿宋"/>
        </w:rPr>
        <w:t>项目名称</w:t>
      </w:r>
    </w:p>
    <w:p w14:paraId="127B0A52">
      <w:pPr>
        <w:ind w:firstLine="565" w:firstLineChars="202"/>
        <w:rPr>
          <w:rFonts w:hint="eastAsia" w:ascii="楷体_GB2312" w:hAnsi="楷体_GB2312" w:eastAsia="楷体_GB2312" w:cs="楷体_GB2312"/>
          <w:sz w:val="28"/>
          <w:lang w:eastAsia="zh-CN"/>
        </w:rPr>
      </w:pPr>
      <w:r>
        <w:rPr>
          <w:rFonts w:hint="eastAsia" w:ascii="楷体_GB2312" w:hAnsi="楷体_GB2312" w:eastAsia="楷体_GB2312" w:cs="楷体_GB2312"/>
          <w:sz w:val="28"/>
        </w:rPr>
        <w:t>省科技报告服务系统</w:t>
      </w:r>
      <w:r>
        <w:rPr>
          <w:rFonts w:hint="eastAsia" w:ascii="楷体_GB2312" w:hAnsi="楷体_GB2312" w:eastAsia="楷体_GB2312" w:cs="楷体_GB2312"/>
          <w:sz w:val="28"/>
          <w:lang w:eastAsia="zh-CN"/>
        </w:rPr>
        <w:t>升级</w:t>
      </w:r>
      <w:r>
        <w:rPr>
          <w:rFonts w:hint="eastAsia" w:ascii="楷体_GB2312" w:hAnsi="楷体_GB2312" w:eastAsia="楷体_GB2312" w:cs="楷体_GB2312"/>
          <w:sz w:val="28"/>
        </w:rPr>
        <w:t>改造（2024年）项目</w:t>
      </w:r>
    </w:p>
    <w:p w14:paraId="0D1CD9C2">
      <w:pPr>
        <w:pStyle w:val="9"/>
        <w:rPr>
          <w:rFonts w:ascii="仿宋" w:hAnsi="仿宋" w:eastAsia="仿宋"/>
        </w:rPr>
      </w:pPr>
      <w:r>
        <w:rPr>
          <w:rFonts w:ascii="仿宋" w:hAnsi="仿宋" w:eastAsia="仿宋"/>
        </w:rPr>
        <w:t>采购人</w:t>
      </w:r>
    </w:p>
    <w:p w14:paraId="7DCD65BD">
      <w:pPr>
        <w:ind w:firstLine="565" w:firstLineChars="202"/>
        <w:rPr>
          <w:rFonts w:hint="eastAsia" w:ascii="楷体_GB2312" w:hAnsi="楷体_GB2312" w:eastAsia="楷体_GB2312" w:cs="楷体_GB2312"/>
          <w:sz w:val="28"/>
        </w:rPr>
      </w:pPr>
      <w:r>
        <w:rPr>
          <w:rFonts w:hint="eastAsia" w:ascii="楷体_GB2312" w:hAnsi="楷体_GB2312" w:eastAsia="楷体_GB2312" w:cs="楷体_GB2312"/>
          <w:sz w:val="28"/>
        </w:rPr>
        <w:t>广东省科技创新监测研究中心</w:t>
      </w:r>
    </w:p>
    <w:p w14:paraId="2FA4CCF6">
      <w:pPr>
        <w:pStyle w:val="9"/>
        <w:rPr>
          <w:rFonts w:ascii="仿宋" w:hAnsi="仿宋" w:eastAsia="仿宋"/>
        </w:rPr>
      </w:pPr>
      <w:r>
        <w:rPr>
          <w:rFonts w:ascii="仿宋" w:hAnsi="仿宋" w:eastAsia="仿宋"/>
        </w:rPr>
        <w:t>项目总体目标</w:t>
      </w:r>
    </w:p>
    <w:p w14:paraId="38DF3A0A">
      <w:pPr>
        <w:ind w:firstLine="565" w:firstLineChars="202"/>
        <w:jc w:val="both"/>
        <w:rPr>
          <w:rFonts w:hint="eastAsia" w:ascii="楷体_GB2312" w:hAnsi="楷体_GB2312" w:eastAsia="楷体_GB2312" w:cs="楷体_GB2312"/>
          <w:sz w:val="28"/>
          <w:lang w:eastAsia="zh-Hans"/>
        </w:rPr>
      </w:pPr>
      <w:bookmarkStart w:id="0" w:name="_Hlk131691296"/>
      <w:r>
        <w:rPr>
          <w:rFonts w:hint="eastAsia" w:ascii="楷体_GB2312" w:hAnsi="楷体_GB2312" w:eastAsia="楷体_GB2312" w:cs="楷体_GB2312"/>
          <w:sz w:val="28"/>
          <w:lang w:eastAsia="zh-Hans"/>
        </w:rPr>
        <w:t>为进一步提升广东省科技报告服务系统的安全防护能力，在不影响各项现有业务应用运行、使用的基础上，全面推广和应用</w:t>
      </w:r>
      <w:r>
        <w:rPr>
          <w:rFonts w:hint="eastAsia" w:ascii="楷体_GB2312" w:hAnsi="楷体_GB2312" w:eastAsia="楷体_GB2312" w:cs="楷体_GB2312"/>
          <w:sz w:val="28"/>
          <w:lang w:val="en-US" w:eastAsia="zh-CN"/>
        </w:rPr>
        <w:t>安全可控及</w:t>
      </w:r>
      <w:r>
        <w:rPr>
          <w:rFonts w:hint="eastAsia" w:ascii="楷体_GB2312" w:hAnsi="楷体_GB2312" w:eastAsia="楷体_GB2312" w:cs="楷体_GB2312"/>
          <w:sz w:val="28"/>
          <w:lang w:eastAsia="zh-Hans"/>
        </w:rPr>
        <w:t>商用密码，并通过有资质的第三方测评机构开展的密码应用安全性评估测试，达到国家密码管理局发布的</w:t>
      </w:r>
      <w:r>
        <w:rPr>
          <w:rFonts w:hint="eastAsia" w:ascii="楷体_GB2312" w:hAnsi="楷体_GB2312" w:eastAsia="楷体_GB2312" w:cs="楷体_GB2312"/>
          <w:sz w:val="28"/>
          <w:lang w:val="en-GB" w:eastAsia="zh-Hans"/>
        </w:rPr>
        <w:t>《GB/T 39786-2021 信息安全技术 信息系统密码应用基本要求》</w:t>
      </w:r>
      <w:r>
        <w:rPr>
          <w:rFonts w:hint="eastAsia" w:ascii="楷体_GB2312" w:hAnsi="楷体_GB2312" w:eastAsia="楷体_GB2312" w:cs="楷体_GB2312"/>
          <w:sz w:val="28"/>
          <w:lang w:eastAsia="zh-Hans"/>
        </w:rPr>
        <w:t>。对广东省科技报告服务系统实施</w:t>
      </w:r>
      <w:r>
        <w:rPr>
          <w:rFonts w:hint="eastAsia" w:ascii="楷体_GB2312" w:hAnsi="楷体_GB2312" w:eastAsia="楷体_GB2312" w:cs="楷体_GB2312"/>
          <w:sz w:val="28"/>
          <w:lang w:eastAsia="zh-CN"/>
        </w:rPr>
        <w:t>升级</w:t>
      </w:r>
      <w:r>
        <w:rPr>
          <w:rFonts w:hint="eastAsia" w:ascii="楷体_GB2312" w:hAnsi="楷体_GB2312" w:eastAsia="楷体_GB2312" w:cs="楷体_GB2312"/>
          <w:sz w:val="28"/>
          <w:lang w:eastAsia="zh-Hans"/>
        </w:rPr>
        <w:t>改造，完成《广东省数字政府改革建设“十四五”规划》提出的</w:t>
      </w:r>
      <w:r>
        <w:rPr>
          <w:rFonts w:hint="eastAsia" w:ascii="楷体_GB2312" w:hAnsi="楷体_GB2312" w:eastAsia="楷体_GB2312" w:cs="楷体_GB2312"/>
          <w:sz w:val="28"/>
          <w:lang w:eastAsia="zh-CN"/>
        </w:rPr>
        <w:t>升级</w:t>
      </w:r>
      <w:r>
        <w:rPr>
          <w:rFonts w:hint="eastAsia" w:ascii="楷体_GB2312" w:hAnsi="楷体_GB2312" w:eastAsia="楷体_GB2312" w:cs="楷体_GB2312"/>
          <w:sz w:val="28"/>
          <w:lang w:eastAsia="zh-Hans"/>
        </w:rPr>
        <w:t>改造要求，确保各类信息的真实性、机密性、完整性、抗抵赖性等。</w:t>
      </w:r>
      <w:bookmarkEnd w:id="0"/>
    </w:p>
    <w:p w14:paraId="7A5E0329">
      <w:pPr>
        <w:pStyle w:val="9"/>
        <w:rPr>
          <w:rFonts w:ascii="仿宋" w:hAnsi="仿宋" w:eastAsia="仿宋"/>
        </w:rPr>
      </w:pPr>
      <w:r>
        <w:rPr>
          <w:rFonts w:ascii="仿宋" w:hAnsi="仿宋" w:eastAsia="仿宋"/>
        </w:rPr>
        <w:t>服务地点</w:t>
      </w:r>
    </w:p>
    <w:p w14:paraId="1EADB06B">
      <w:pPr>
        <w:ind w:firstLine="565" w:firstLineChars="202"/>
        <w:rPr>
          <w:rFonts w:hint="eastAsia" w:ascii="楷体_GB2312" w:hAnsi="楷体_GB2312" w:eastAsia="楷体_GB2312" w:cs="楷体_GB2312"/>
          <w:sz w:val="28"/>
        </w:rPr>
      </w:pPr>
      <w:r>
        <w:rPr>
          <w:rFonts w:hint="eastAsia" w:ascii="楷体_GB2312" w:hAnsi="楷体_GB2312" w:eastAsia="楷体_GB2312" w:cs="楷体_GB2312"/>
          <w:sz w:val="28"/>
        </w:rPr>
        <w:t>广东省科技创新监测研究中心及其指定地点。</w:t>
      </w:r>
    </w:p>
    <w:p w14:paraId="06F6CC35">
      <w:pPr>
        <w:pStyle w:val="8"/>
        <w:rPr>
          <w:rFonts w:ascii="仿宋" w:hAnsi="仿宋" w:eastAsia="仿宋"/>
        </w:rPr>
      </w:pPr>
      <w:r>
        <w:rPr>
          <w:rFonts w:ascii="仿宋" w:hAnsi="仿宋" w:eastAsia="仿宋"/>
        </w:rPr>
        <w:t>项目背景</w:t>
      </w:r>
    </w:p>
    <w:p w14:paraId="32F74F98">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广东省科技厅政务信息化建设规划（2022-2025年）》明确筑牢网络安全“立体防线”的核心目标，主要任务包括：“遵循国家有关法律法规、网络等级保护要求，强化网络安全科技创新能力，通过建设自主可控的安全技术体系、巩固基础稳健的安全运营能力、强化多维立体的纵深安全保障能力、加强数据应用的安全管理能力、实施安全可信的商业密码改造、严格整体全面的安全监管要求等措施，构建可持续发展的安全技术体系。”</w:t>
      </w:r>
    </w:p>
    <w:p w14:paraId="5C1242F7">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本项目建设内容，为建设自主可控的安全技术体系中落实打造国产化科技业务平台和加快商业密码应用改造步伐主要任务内容：“分批次逐步推进科技政务信息系统适配开发、改造与迁移，调优适配国内主流的自主安全服务器、操作系统、中间件和数据库的国产政务云运行环境，确保系统稳定性、安全性、扩展性与实用性，保障数据安全，实现自主安全、高效协同。</w:t>
      </w:r>
    </w:p>
    <w:p w14:paraId="39242A24">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依照国家密码管理有关法律法规和标准规范，基于零信任架构技术路线，以全面身份化、多源信任评估、动态访问控制为基石，利用省数字政府密码基础设施资源，开展科技政务信息系统密码改造工作，实施密码应用安全性评估，整体提升我厅科技政务数字化安全水平。”</w:t>
      </w:r>
    </w:p>
    <w:p w14:paraId="3173A656">
      <w:pPr>
        <w:pStyle w:val="7"/>
        <w:adjustRightInd w:val="0"/>
        <w:snapToGrid w:val="0"/>
        <w:spacing w:line="560" w:lineRule="exact"/>
        <w:jc w:val="both"/>
        <w:rPr>
          <w:rFonts w:hint="eastAsia" w:ascii="Times New Roman" w:hAnsi="Times New Roman" w:eastAsia="黑体" w:cs="Times New Roman"/>
          <w:kern w:val="0"/>
        </w:rPr>
      </w:pPr>
      <w:r>
        <w:rPr>
          <w:rFonts w:hint="eastAsia" w:ascii="Times New Roman" w:hAnsi="Times New Roman" w:eastAsia="黑体" w:cs="Times New Roman"/>
          <w:kern w:val="0"/>
        </w:rPr>
        <w:t>项目预算</w:t>
      </w:r>
    </w:p>
    <w:p w14:paraId="0DD0990B">
      <w:pPr>
        <w:ind w:firstLine="560" w:firstLineChars="200"/>
        <w:jc w:val="left"/>
        <w:rPr>
          <w:rFonts w:hint="eastAsia" w:ascii="楷体_GB2312" w:hAnsi="楷体_GB2312" w:eastAsia="楷体_GB2312" w:cs="楷体_GB2312"/>
          <w:i/>
          <w:sz w:val="28"/>
          <w:szCs w:val="28"/>
        </w:rPr>
      </w:pPr>
      <w:r>
        <w:rPr>
          <w:rFonts w:hint="eastAsia" w:ascii="楷体_GB2312" w:hAnsi="楷体_GB2312" w:eastAsia="楷体_GB2312" w:cs="楷体_GB2312"/>
          <w:sz w:val="28"/>
          <w:szCs w:val="28"/>
        </w:rPr>
        <w:t>本项目总预算为</w:t>
      </w:r>
      <w:r>
        <w:rPr>
          <w:rFonts w:hint="eastAsia" w:ascii="楷体_GB2312" w:hAnsi="楷体_GB2312" w:eastAsia="楷体_GB2312" w:cs="楷体_GB2312"/>
          <w:sz w:val="28"/>
          <w:szCs w:val="28"/>
          <w:u w:val="single"/>
        </w:rPr>
        <w:t>49.21</w:t>
      </w:r>
      <w:r>
        <w:rPr>
          <w:rFonts w:hint="eastAsia" w:ascii="楷体_GB2312" w:hAnsi="楷体_GB2312" w:eastAsia="楷体_GB2312" w:cs="楷体_GB2312"/>
          <w:sz w:val="28"/>
          <w:szCs w:val="28"/>
        </w:rPr>
        <w:t>万元</w:t>
      </w:r>
      <w:r>
        <w:rPr>
          <w:rFonts w:hint="eastAsia" w:ascii="楷体_GB2312" w:hAnsi="楷体_GB2312" w:eastAsia="楷体_GB2312" w:cs="楷体_GB2312"/>
          <w:i/>
          <w:sz w:val="28"/>
          <w:szCs w:val="28"/>
        </w:rPr>
        <w:t>。</w:t>
      </w:r>
    </w:p>
    <w:p w14:paraId="6ECD911E">
      <w:pPr>
        <w:pStyle w:val="7"/>
        <w:adjustRightInd w:val="0"/>
        <w:snapToGrid w:val="0"/>
        <w:spacing w:line="560" w:lineRule="exact"/>
        <w:jc w:val="both"/>
        <w:rPr>
          <w:rFonts w:hint="eastAsia" w:ascii="Times New Roman" w:hAnsi="Times New Roman" w:eastAsia="黑体" w:cs="Times New Roman"/>
          <w:kern w:val="0"/>
        </w:rPr>
      </w:pPr>
      <w:r>
        <w:rPr>
          <w:rFonts w:hint="eastAsia" w:ascii="Times New Roman" w:hAnsi="Times New Roman" w:eastAsia="黑体" w:cs="Times New Roman"/>
          <w:kern w:val="0"/>
        </w:rPr>
        <w:t>服务期限</w:t>
      </w:r>
    </w:p>
    <w:p w14:paraId="1F58548C">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项目服务期限为</w:t>
      </w:r>
      <w:r>
        <w:rPr>
          <w:rFonts w:hint="eastAsia" w:ascii="楷体_GB2312" w:hAnsi="楷体_GB2312" w:eastAsia="楷体_GB2312" w:cs="楷体_GB2312"/>
          <w:sz w:val="28"/>
          <w:szCs w:val="28"/>
          <w:lang w:val="en-US" w:eastAsia="zh-Hans"/>
        </w:rPr>
        <w:t>自合同签订之日起至2025年5月</w:t>
      </w:r>
      <w:r>
        <w:rPr>
          <w:rFonts w:hint="eastAsia" w:ascii="楷体_GB2312" w:hAnsi="楷体_GB2312" w:eastAsia="楷体_GB2312" w:cs="楷体_GB2312"/>
          <w:sz w:val="28"/>
          <w:szCs w:val="28"/>
          <w:lang w:eastAsia="zh-Hans"/>
        </w:rPr>
        <w:t>，具体以合同为准。</w:t>
      </w:r>
    </w:p>
    <w:p w14:paraId="732E5241">
      <w:pPr>
        <w:pStyle w:val="7"/>
        <w:adjustRightInd w:val="0"/>
        <w:snapToGrid w:val="0"/>
        <w:spacing w:line="560" w:lineRule="exact"/>
        <w:jc w:val="both"/>
        <w:rPr>
          <w:rFonts w:hint="eastAsia" w:ascii="Times New Roman" w:hAnsi="Times New Roman" w:eastAsia="黑体" w:cs="Times New Roman"/>
          <w:kern w:val="0"/>
        </w:rPr>
      </w:pPr>
      <w:r>
        <w:rPr>
          <w:rFonts w:hint="eastAsia" w:ascii="Times New Roman" w:hAnsi="Times New Roman" w:eastAsia="黑体" w:cs="Times New Roman"/>
          <w:kern w:val="0"/>
        </w:rPr>
        <w:t>服务内容</w:t>
      </w:r>
    </w:p>
    <w:p w14:paraId="4D66E829">
      <w:pPr>
        <w:pStyle w:val="8"/>
        <w:rPr>
          <w:rFonts w:ascii="仿宋" w:hAnsi="仿宋" w:eastAsia="仿宋"/>
        </w:rPr>
      </w:pPr>
      <w:r>
        <w:rPr>
          <w:rFonts w:hint="eastAsia" w:ascii="仿宋" w:hAnsi="仿宋" w:eastAsia="仿宋"/>
        </w:rPr>
        <w:t>软件开发服务</w:t>
      </w:r>
    </w:p>
    <w:p w14:paraId="68027571">
      <w:pPr>
        <w:pStyle w:val="9"/>
        <w:rPr>
          <w:rFonts w:ascii="仿宋" w:eastAsia="仿宋"/>
        </w:rPr>
      </w:pPr>
      <w:r>
        <w:rPr>
          <w:rFonts w:hint="eastAsia" w:ascii="仿宋" w:eastAsia="仿宋"/>
        </w:rPr>
        <w:t>软件开发服务</w:t>
      </w:r>
    </w:p>
    <w:p w14:paraId="4FFF4D80">
      <w:pPr>
        <w:pStyle w:val="9"/>
        <w:numPr>
          <w:ilvl w:val="3"/>
          <w:numId w:val="1"/>
        </w:numPr>
        <w:outlineLvl w:val="3"/>
        <w:rPr>
          <w:rFonts w:hint="eastAsia" w:ascii="仿宋" w:eastAsia="仿宋"/>
        </w:rPr>
      </w:pPr>
      <w:r>
        <w:rPr>
          <w:rFonts w:hint="eastAsia" w:ascii="仿宋" w:eastAsia="仿宋"/>
        </w:rPr>
        <w:t>广东省科技报告服务系统商用密码改造</w:t>
      </w:r>
    </w:p>
    <w:p w14:paraId="74A5D229">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主要内容为对广东省科技报告服务系统商用密码应用改造，包括对系统进行身份鉴别，菜单栏目完整性检查、监控，权限完整性检查、监控，对系统配置信息进行完整性保护，重要数据机密性保护等改造工作，并提供1年期的免费运维服务。</w:t>
      </w:r>
    </w:p>
    <w:p w14:paraId="6E08AC20">
      <w:pPr>
        <w:pStyle w:val="8"/>
        <w:rPr>
          <w:rFonts w:hint="eastAsia" w:ascii="仿宋" w:hAnsi="仿宋" w:eastAsia="仿宋"/>
        </w:rPr>
      </w:pPr>
      <w:bookmarkStart w:id="1" w:name="_Toc29325"/>
      <w:bookmarkStart w:id="2" w:name="_Hlk131352404"/>
      <w:bookmarkStart w:id="3" w:name="_Toc138862397"/>
      <w:r>
        <w:rPr>
          <w:rFonts w:hint="eastAsia" w:ascii="仿宋" w:hAnsi="仿宋" w:eastAsia="仿宋"/>
        </w:rPr>
        <w:t>系统业务运营服务</w:t>
      </w:r>
      <w:bookmarkEnd w:id="1"/>
      <w:bookmarkEnd w:id="2"/>
      <w:bookmarkEnd w:id="3"/>
    </w:p>
    <w:p w14:paraId="68D7CE14">
      <w:pPr>
        <w:pStyle w:val="9"/>
        <w:rPr>
          <w:rFonts w:hint="eastAsia" w:ascii="仿宋" w:eastAsia="仿宋"/>
        </w:rPr>
      </w:pPr>
      <w:bookmarkStart w:id="4" w:name="_Toc11094"/>
      <w:bookmarkStart w:id="5" w:name="_Toc138862398"/>
      <w:r>
        <w:rPr>
          <w:rFonts w:hint="eastAsia" w:ascii="仿宋" w:eastAsia="仿宋"/>
        </w:rPr>
        <w:t>广东省科技报告服务系统应用系统</w:t>
      </w:r>
      <w:r>
        <w:rPr>
          <w:rFonts w:hint="eastAsia" w:ascii="仿宋" w:eastAsia="仿宋"/>
          <w:lang w:val="en-US" w:eastAsia="zh-CN"/>
        </w:rPr>
        <w:t>升级</w:t>
      </w:r>
      <w:r>
        <w:rPr>
          <w:rFonts w:hint="eastAsia" w:ascii="仿宋" w:eastAsia="仿宋"/>
        </w:rPr>
        <w:t>改造运营服务</w:t>
      </w:r>
      <w:bookmarkEnd w:id="4"/>
      <w:bookmarkEnd w:id="5"/>
    </w:p>
    <w:p w14:paraId="3EE1DB92">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val="en-GB" w:eastAsia="zh-Hans"/>
        </w:rPr>
        <w:t>本项目运营服务内容是将省科技报告服务系统从当前基础环境迁移到升级基础环境中，包括对硬件设备、操作系统、中间件、数据库的适配工作。需对系统的部分代码进行适应性调整，以确保系统能够适应新的环境并且正常运行。对代码进行重新编译并进行必要的测试和调试工作，以确保系统能够在新环境中达到预期的性能和稳定性。对数据库进行迁移确保业务可以平稳过渡到新系统中运转。本项目不涉及对广东省科技报告服务系统原有功能的改造及新功能的开发。仅确保系统在新环境中能够保持原有的功能和性能，并保障业务的顺利进行。省科技报告服务系统完成</w:t>
      </w:r>
      <w:r>
        <w:rPr>
          <w:rFonts w:hint="eastAsia" w:ascii="楷体_GB2312" w:hAnsi="楷体_GB2312" w:eastAsia="楷体_GB2312" w:cs="楷体_GB2312"/>
          <w:sz w:val="28"/>
          <w:szCs w:val="28"/>
          <w:lang w:val="en-US" w:eastAsia="zh-Hans"/>
        </w:rPr>
        <w:t>升级</w:t>
      </w:r>
      <w:r>
        <w:rPr>
          <w:rFonts w:hint="eastAsia" w:ascii="楷体_GB2312" w:hAnsi="楷体_GB2312" w:eastAsia="楷体_GB2312" w:cs="楷体_GB2312"/>
          <w:sz w:val="28"/>
          <w:szCs w:val="28"/>
          <w:lang w:val="en-GB" w:eastAsia="zh-Hans"/>
        </w:rPr>
        <w:t>改造后，计划于2024年底对新旧系统进行割接，对旧系统进行下线。</w:t>
      </w:r>
    </w:p>
    <w:p w14:paraId="5611EC17">
      <w:pPr>
        <w:pStyle w:val="7"/>
        <w:adjustRightInd w:val="0"/>
        <w:snapToGrid w:val="0"/>
        <w:spacing w:line="560" w:lineRule="exact"/>
        <w:jc w:val="both"/>
        <w:rPr>
          <w:rFonts w:hint="eastAsia" w:ascii="Times New Roman" w:hAnsi="Times New Roman" w:eastAsia="黑体" w:cs="Times New Roman"/>
          <w:kern w:val="0"/>
        </w:rPr>
      </w:pPr>
      <w:r>
        <w:rPr>
          <w:rFonts w:hint="eastAsia" w:ascii="Times New Roman" w:hAnsi="Times New Roman" w:eastAsia="黑体" w:cs="Times New Roman"/>
          <w:kern w:val="0"/>
        </w:rPr>
        <w:t>服务要求</w:t>
      </w:r>
    </w:p>
    <w:p w14:paraId="5516585F">
      <w:pPr>
        <w:pStyle w:val="8"/>
        <w:rPr>
          <w:rFonts w:ascii="仿宋" w:hAnsi="仿宋" w:eastAsia="仿宋"/>
        </w:rPr>
      </w:pPr>
      <w:r>
        <w:rPr>
          <w:rFonts w:ascii="仿宋" w:hAnsi="仿宋" w:eastAsia="仿宋"/>
        </w:rPr>
        <w:t>技术要求</w:t>
      </w:r>
    </w:p>
    <w:p w14:paraId="0F715F37">
      <w:pPr>
        <w:pStyle w:val="9"/>
        <w:rPr>
          <w:rFonts w:ascii="仿宋" w:hAnsi="仿宋" w:eastAsia="仿宋"/>
        </w:rPr>
      </w:pPr>
      <w:r>
        <w:rPr>
          <w:rFonts w:ascii="仿宋" w:hAnsi="仿宋" w:eastAsia="仿宋"/>
        </w:rPr>
        <w:t>总体技术要求</w:t>
      </w:r>
    </w:p>
    <w:p w14:paraId="0D6363E3">
      <w:pPr>
        <w:ind w:firstLine="560" w:firstLineChars="200"/>
        <w:jc w:val="left"/>
        <w:rPr>
          <w:rFonts w:hint="eastAsia" w:ascii="楷体_GB2312" w:hAnsi="楷体_GB2312" w:eastAsia="楷体_GB2312" w:cs="楷体_GB2312"/>
          <w:sz w:val="28"/>
          <w:szCs w:val="28"/>
        </w:rPr>
      </w:pPr>
      <w:r>
        <w:rPr>
          <w:rFonts w:hint="eastAsia" w:ascii="楷体_GB2312" w:hAnsi="楷体_GB2312" w:eastAsia="楷体_GB2312" w:cs="楷体_GB2312"/>
          <w:sz w:val="28"/>
          <w:szCs w:val="28"/>
        </w:rPr>
        <w:t>1、功能与适用原则</w:t>
      </w:r>
    </w:p>
    <w:p w14:paraId="0676D950">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体现“以服务为中心、以人为本”的实施主导思想，系统所有功能需要考虑到以用户为中心，通用功能应通过服务模式开放给其他功能使用。</w:t>
      </w:r>
    </w:p>
    <w:p w14:paraId="602F5547">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系统提供的应用模块，用户可以有选择地运用，每个软件之间相互独立，模块接口开放、明确，任何一个应用模块的损坏和更换不能硬性规定其他软件模块的应用。</w:t>
      </w:r>
    </w:p>
    <w:p w14:paraId="14AA62F1">
      <w:pPr>
        <w:ind w:firstLine="560" w:firstLineChars="200"/>
        <w:jc w:val="left"/>
        <w:rPr>
          <w:rFonts w:hint="eastAsia" w:ascii="楷体_GB2312" w:hAnsi="楷体_GB2312" w:eastAsia="楷体_GB2312" w:cs="楷体_GB2312"/>
          <w:sz w:val="28"/>
          <w:szCs w:val="28"/>
        </w:rPr>
      </w:pPr>
      <w:r>
        <w:rPr>
          <w:rFonts w:hint="eastAsia" w:ascii="楷体_GB2312" w:hAnsi="楷体_GB2312" w:eastAsia="楷体_GB2312" w:cs="楷体_GB2312"/>
          <w:sz w:val="28"/>
          <w:szCs w:val="28"/>
        </w:rPr>
        <w:t>2、可扩展性原则</w:t>
      </w:r>
    </w:p>
    <w:p w14:paraId="2B18F40B">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系统的设计和实施要充分考虑网络、硬件的扩展需要、应用系统二次开发的需要、以及支持未来可能出现的组织调整的需要。系统应采用开放的可扩充模块结构，保证以后可以方便地升级和不断增加新功能、增加容量、以及在同一平台上扩充其他业务应用功能。</w:t>
      </w:r>
    </w:p>
    <w:p w14:paraId="07B7FB8C">
      <w:pPr>
        <w:ind w:firstLine="560" w:firstLineChars="200"/>
        <w:jc w:val="left"/>
        <w:rPr>
          <w:rFonts w:hint="eastAsia" w:ascii="楷体_GB2312" w:hAnsi="楷体_GB2312" w:eastAsia="楷体_GB2312" w:cs="楷体_GB2312"/>
          <w:sz w:val="28"/>
          <w:szCs w:val="28"/>
        </w:rPr>
      </w:pPr>
      <w:r>
        <w:rPr>
          <w:rFonts w:hint="eastAsia" w:ascii="楷体_GB2312" w:hAnsi="楷体_GB2312" w:eastAsia="楷体_GB2312" w:cs="楷体_GB2312"/>
          <w:sz w:val="28"/>
          <w:szCs w:val="28"/>
        </w:rPr>
        <w:t>3、标准与规范化原则</w:t>
      </w:r>
    </w:p>
    <w:p w14:paraId="51474C61">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坚持“统一领导，统一规划，统一标准”的原则全面推进项目实施。通过集中采购、统一实施的方式，提高全省信息化基础设施建设水平，保证全省关键网络设备和主要业务系统的互联互通。</w:t>
      </w:r>
    </w:p>
    <w:p w14:paraId="7996003F">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严格遵循国家、我省电子政务有关法律法规和技术规范的要求，从业务、技术、运行管理等方面对项目的整体实施进行设计，充分体现标准化和规范化。</w:t>
      </w:r>
    </w:p>
    <w:p w14:paraId="42D2228B">
      <w:pPr>
        <w:ind w:firstLine="560" w:firstLineChars="200"/>
        <w:jc w:val="left"/>
        <w:rPr>
          <w:rFonts w:hint="eastAsia" w:ascii="楷体_GB2312" w:hAnsi="楷体_GB2312" w:eastAsia="楷体_GB2312" w:cs="楷体_GB2312"/>
          <w:sz w:val="28"/>
          <w:szCs w:val="28"/>
        </w:rPr>
      </w:pPr>
      <w:r>
        <w:rPr>
          <w:rFonts w:hint="eastAsia" w:ascii="楷体_GB2312" w:hAnsi="楷体_GB2312" w:eastAsia="楷体_GB2312" w:cs="楷体_GB2312"/>
          <w:sz w:val="28"/>
          <w:szCs w:val="28"/>
        </w:rPr>
        <w:t>4、安全和易用性原则</w:t>
      </w:r>
    </w:p>
    <w:p w14:paraId="19C72B15">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在项目方案设计时，依托国家电子政务建设的各种信息技术标准(环境、技术、信息、安全、信息交换标准等)，制订项目各项技术标准，结合电子政务应用的特点，强化信息安全建设。并针对不同层面的使用者的应用水平，充分考虑系统的易用性，保障本项目实施后的应用与推广。</w:t>
      </w:r>
    </w:p>
    <w:p w14:paraId="2EB7402F">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项目的实施要保证软、硬件安全、可靠的运行，要有容灾、容错方案。能够采用先进的安全保密技术进行用户身份认证。将系统级身份认证和应用级身份认证统一灵活应用于各应用系统的登录、流转等功能模块中，操作方式应简单快捷。应具备完善的日志管理等功能，能够追踪记录每次操作情况，并对非法操作进行告警。</w:t>
      </w:r>
    </w:p>
    <w:p w14:paraId="700F0075">
      <w:pPr>
        <w:ind w:firstLine="560" w:firstLineChars="200"/>
        <w:jc w:val="left"/>
        <w:rPr>
          <w:rFonts w:hint="eastAsia" w:ascii="楷体_GB2312" w:hAnsi="楷体_GB2312" w:eastAsia="楷体_GB2312" w:cs="楷体_GB2312"/>
          <w:sz w:val="28"/>
          <w:szCs w:val="28"/>
        </w:rPr>
      </w:pPr>
      <w:r>
        <w:rPr>
          <w:rFonts w:hint="eastAsia" w:ascii="楷体_GB2312" w:hAnsi="楷体_GB2312" w:eastAsia="楷体_GB2312" w:cs="楷体_GB2312"/>
          <w:sz w:val="28"/>
          <w:szCs w:val="28"/>
        </w:rPr>
        <w:t>5、可维护性原则</w:t>
      </w:r>
    </w:p>
    <w:p w14:paraId="54BE88E4">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应保证整个系统的可管理性、可维护性，以降低管理、维护成本。系统的服务器平台、网络平台、系统软件都应提供方便、灵活的维护手段，方便应用人员的维护和管理。</w:t>
      </w:r>
    </w:p>
    <w:p w14:paraId="70041B68">
      <w:pPr>
        <w:pStyle w:val="9"/>
        <w:rPr>
          <w:rFonts w:ascii="仿宋" w:hAnsi="仿宋" w:eastAsia="仿宋"/>
        </w:rPr>
      </w:pPr>
      <w:r>
        <w:rPr>
          <w:rFonts w:ascii="仿宋" w:hAnsi="仿宋" w:eastAsia="仿宋"/>
        </w:rPr>
        <w:t>技术路线</w:t>
      </w:r>
    </w:p>
    <w:p w14:paraId="7B005F39">
      <w:pPr>
        <w:pStyle w:val="9"/>
        <w:numPr>
          <w:ilvl w:val="3"/>
          <w:numId w:val="1"/>
        </w:numPr>
        <w:outlineLvl w:val="3"/>
        <w:rPr>
          <w:rFonts w:hint="eastAsia" w:ascii="仿宋" w:hAnsi="仿宋" w:eastAsia="仿宋"/>
        </w:rPr>
      </w:pPr>
      <w:bookmarkStart w:id="6" w:name="_Toc28299436"/>
      <w:bookmarkStart w:id="7" w:name="_Toc138862384"/>
      <w:bookmarkStart w:id="8" w:name="_Toc58948225"/>
      <w:bookmarkStart w:id="9" w:name="_Toc49850841"/>
      <w:bookmarkStart w:id="10" w:name="_Toc5632"/>
      <w:r>
        <w:rPr>
          <w:rFonts w:hint="eastAsia" w:ascii="仿宋" w:hAnsi="仿宋" w:eastAsia="仿宋"/>
        </w:rPr>
        <w:t>基础软硬件平台技术路线设计</w:t>
      </w:r>
      <w:bookmarkEnd w:id="6"/>
      <w:bookmarkEnd w:id="7"/>
      <w:bookmarkEnd w:id="8"/>
      <w:bookmarkEnd w:id="9"/>
      <w:bookmarkEnd w:id="10"/>
    </w:p>
    <w:p w14:paraId="64D722E2">
      <w:pPr>
        <w:ind w:firstLine="560" w:firstLineChars="200"/>
        <w:jc w:val="left"/>
        <w:rPr>
          <w:rFonts w:hint="eastAsia" w:ascii="楷体_GB2312" w:hAnsi="楷体_GB2312" w:eastAsia="楷体_GB2312" w:cs="楷体_GB2312"/>
          <w:sz w:val="28"/>
          <w:szCs w:val="28"/>
        </w:rPr>
      </w:pPr>
      <w:r>
        <w:rPr>
          <w:rFonts w:hint="eastAsia" w:ascii="楷体_GB2312" w:hAnsi="楷体_GB2312" w:eastAsia="楷体_GB2312" w:cs="楷体_GB2312"/>
          <w:sz w:val="28"/>
          <w:szCs w:val="28"/>
        </w:rPr>
        <w:t>1、</w:t>
      </w:r>
      <w:r>
        <w:rPr>
          <w:rFonts w:hint="eastAsia" w:ascii="楷体_GB2312" w:hAnsi="楷体_GB2312" w:eastAsia="楷体_GB2312" w:cs="楷体_GB2312"/>
          <w:sz w:val="28"/>
          <w:szCs w:val="28"/>
          <w:lang w:val="en-US" w:eastAsia="zh-CN"/>
        </w:rPr>
        <w:t>安全可控的</w:t>
      </w:r>
      <w:r>
        <w:rPr>
          <w:rFonts w:hint="eastAsia" w:ascii="楷体_GB2312" w:hAnsi="楷体_GB2312" w:eastAsia="楷体_GB2312" w:cs="楷体_GB2312"/>
          <w:sz w:val="28"/>
          <w:szCs w:val="28"/>
        </w:rPr>
        <w:t>服务器（CPU）路线</w:t>
      </w:r>
    </w:p>
    <w:p w14:paraId="4A3FB9E0">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在改造系统确定所使用的ARM芯片型号与架构。根据ARM芯片型号与架构下载与安装相对应的JDK。安装对</w:t>
      </w:r>
      <w:r>
        <w:rPr>
          <w:rFonts w:hint="eastAsia" w:ascii="楷体_GB2312" w:hAnsi="楷体_GB2312" w:eastAsia="楷体_GB2312" w:cs="楷体_GB2312"/>
          <w:sz w:val="28"/>
          <w:szCs w:val="28"/>
          <w:lang w:val="en-US" w:eastAsia="zh-Hans"/>
        </w:rPr>
        <w:t>应</w:t>
      </w:r>
      <w:r>
        <w:rPr>
          <w:rFonts w:hint="eastAsia" w:ascii="楷体_GB2312" w:hAnsi="楷体_GB2312" w:eastAsia="楷体_GB2312" w:cs="楷体_GB2312"/>
          <w:sz w:val="28"/>
          <w:szCs w:val="28"/>
          <w:lang w:eastAsia="zh-Hans"/>
        </w:rPr>
        <w:t>的JDK程序后进行系统所有功能的调试和优化，包括代码调试、性能优化、安全优化等，以提高应用程序的效率和稳定性。</w:t>
      </w:r>
    </w:p>
    <w:p w14:paraId="40E9FB4B">
      <w:pPr>
        <w:ind w:firstLine="560" w:firstLineChars="200"/>
        <w:jc w:val="left"/>
        <w:rPr>
          <w:rFonts w:hint="eastAsia" w:ascii="楷体_GB2312" w:hAnsi="楷体_GB2312" w:eastAsia="楷体_GB2312" w:cs="楷体_GB2312"/>
          <w:sz w:val="28"/>
          <w:szCs w:val="28"/>
        </w:rPr>
      </w:pPr>
      <w:r>
        <w:rPr>
          <w:rFonts w:hint="eastAsia" w:ascii="楷体_GB2312" w:hAnsi="楷体_GB2312" w:eastAsia="楷体_GB2312" w:cs="楷体_GB2312"/>
          <w:sz w:val="28"/>
          <w:szCs w:val="28"/>
        </w:rPr>
        <w:t>2、</w:t>
      </w:r>
      <w:r>
        <w:rPr>
          <w:rFonts w:hint="eastAsia" w:ascii="楷体_GB2312" w:hAnsi="楷体_GB2312" w:eastAsia="楷体_GB2312" w:cs="楷体_GB2312"/>
          <w:sz w:val="28"/>
          <w:szCs w:val="28"/>
          <w:lang w:val="en-US" w:eastAsia="zh-CN"/>
        </w:rPr>
        <w:t>安全可控的</w:t>
      </w:r>
      <w:r>
        <w:rPr>
          <w:rFonts w:hint="eastAsia" w:ascii="楷体_GB2312" w:hAnsi="楷体_GB2312" w:eastAsia="楷体_GB2312" w:cs="楷体_GB2312"/>
          <w:sz w:val="28"/>
          <w:szCs w:val="28"/>
        </w:rPr>
        <w:t>中间件路线</w:t>
      </w:r>
    </w:p>
    <w:p w14:paraId="3A2EFD42">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在实施中间件之前，需要对客户的业务需求进行分析和评估，确定中间件的规模、性能要求、可用性和安全性需求等。按照中间件的安装指南，安装并配置中间件软件，包括中间件实例的创建、用户权限的设置等。在中间件安装完成后，需要进行性能调优，包括中间件参数的优化、配置的优化等，以提高中间件的性能和稳定性。在中间件实施完成后，需要建立系统监控和维护机制，包括中间件性能监控、日志分析、安全审计等，以保证系统的正常运行和安全性。</w:t>
      </w:r>
    </w:p>
    <w:p w14:paraId="07341594">
      <w:pPr>
        <w:ind w:firstLine="560" w:firstLineChars="200"/>
        <w:jc w:val="left"/>
        <w:rPr>
          <w:rFonts w:hint="eastAsia" w:ascii="楷体_GB2312" w:hAnsi="楷体_GB2312" w:eastAsia="楷体_GB2312" w:cs="楷体_GB2312"/>
          <w:sz w:val="28"/>
          <w:szCs w:val="28"/>
        </w:rPr>
      </w:pPr>
      <w:r>
        <w:rPr>
          <w:rFonts w:hint="eastAsia" w:ascii="楷体_GB2312" w:hAnsi="楷体_GB2312" w:eastAsia="楷体_GB2312" w:cs="楷体_GB2312"/>
          <w:sz w:val="28"/>
          <w:szCs w:val="28"/>
        </w:rPr>
        <w:t>3、</w:t>
      </w:r>
      <w:r>
        <w:rPr>
          <w:rFonts w:hint="eastAsia" w:ascii="楷体_GB2312" w:hAnsi="楷体_GB2312" w:eastAsia="楷体_GB2312" w:cs="楷体_GB2312"/>
          <w:sz w:val="28"/>
          <w:szCs w:val="28"/>
          <w:lang w:val="en-US" w:eastAsia="zh-CN"/>
        </w:rPr>
        <w:t>安全可控的</w:t>
      </w:r>
      <w:r>
        <w:rPr>
          <w:rFonts w:hint="eastAsia" w:ascii="楷体_GB2312" w:hAnsi="楷体_GB2312" w:eastAsia="楷体_GB2312" w:cs="楷体_GB2312"/>
          <w:sz w:val="28"/>
          <w:szCs w:val="28"/>
        </w:rPr>
        <w:t>数据库路线</w:t>
      </w:r>
    </w:p>
    <w:p w14:paraId="2E3B4A2C">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在实施数据库之前，需要对业务进行分析与评估，确定数据库的规模、性能要求、可用性和安全性需求等。满足需求的前提下安装数据库。安装完数据库后对数据库安装完成后，需要进行性能调优，包括数据库参数的优化、索引的创建和优化、SQL语句的优化等，以提高数据库的性能和稳定性。为了保证数据的完整性和一致性，在将数据迁移到数据库之前，需要进行数据清洗和格式转换，并使用数据迁移工具将数据导入到数据库中。在数据库实施完成后，需要建立系统监控和维护机制，包括数据库性能监控、日志分析、安全审计等，以保证系统的正常运行和安全性。</w:t>
      </w:r>
    </w:p>
    <w:p w14:paraId="42C298F4">
      <w:pPr>
        <w:ind w:firstLine="560" w:firstLineChars="200"/>
        <w:jc w:val="left"/>
        <w:rPr>
          <w:rFonts w:hint="eastAsia" w:ascii="楷体_GB2312" w:hAnsi="楷体_GB2312" w:eastAsia="楷体_GB2312" w:cs="楷体_GB2312"/>
          <w:sz w:val="28"/>
          <w:szCs w:val="28"/>
        </w:rPr>
      </w:pPr>
      <w:r>
        <w:rPr>
          <w:rFonts w:hint="eastAsia" w:ascii="楷体_GB2312" w:hAnsi="楷体_GB2312" w:eastAsia="楷体_GB2312" w:cs="楷体_GB2312"/>
          <w:sz w:val="28"/>
          <w:szCs w:val="28"/>
        </w:rPr>
        <w:t>4、商用密码改造路线</w:t>
      </w:r>
    </w:p>
    <w:p w14:paraId="2E4E5232">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广东省科技报告服务系统根据密码安全管理制度和操作规范选择的密码产品都是通过检测认证的商用密码产品，密钥是存储在密码模块内，并经过加密后保存在电子存储元件中，密钥不以明文的方式出现在密码模块外，密码运算均通过密码模块进行，保证密钥不出现在服务器密码机的内存中，提高了密钥存储的安全性。服务器密码机安全等级达到GM/T 0028二级以上且属于硬件级密码模块。在项目中涉及的SSLVPN，同样通过商用密码产品检测认证，密码设备内的密码模块是存储密钥的核心部件，该部件通过商用密码产品检测认证，从而保证SSLVPN中密钥的安全性。</w:t>
      </w:r>
    </w:p>
    <w:p w14:paraId="70E8463C">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在管理密钥方面上，服务器密码机采用门限算法要求必须超过半数管理员同意后才可以更新密钥、销毁密钥，防止人为对密钥的非法修改和破坏。SSLVPN将密钥管理融入产品管理，具备设备权限后才能进行产品的初始化操作，防止人为恶意进行设备操作。</w:t>
      </w:r>
    </w:p>
    <w:p w14:paraId="145787FA">
      <w:pPr>
        <w:pStyle w:val="9"/>
        <w:numPr>
          <w:ilvl w:val="3"/>
          <w:numId w:val="1"/>
        </w:numPr>
        <w:outlineLvl w:val="3"/>
        <w:rPr>
          <w:rFonts w:hint="eastAsia" w:ascii="仿宋" w:hAnsi="仿宋" w:eastAsia="仿宋"/>
        </w:rPr>
      </w:pPr>
      <w:bookmarkStart w:id="11" w:name="_Toc21801"/>
      <w:bookmarkStart w:id="12" w:name="_Toc58948226"/>
      <w:bookmarkStart w:id="13" w:name="_Toc138862385"/>
      <w:r>
        <w:rPr>
          <w:rFonts w:hint="eastAsia" w:ascii="仿宋" w:hAnsi="仿宋" w:eastAsia="仿宋"/>
        </w:rPr>
        <w:t>应用系统技术路线设计</w:t>
      </w:r>
      <w:bookmarkEnd w:id="11"/>
      <w:bookmarkEnd w:id="12"/>
      <w:bookmarkEnd w:id="13"/>
    </w:p>
    <w:p w14:paraId="06269703">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本系统支持基于</w:t>
      </w:r>
      <w:r>
        <w:rPr>
          <w:rFonts w:hint="eastAsia" w:ascii="楷体_GB2312" w:hAnsi="楷体_GB2312" w:eastAsia="楷体_GB2312" w:cs="楷体_GB2312"/>
          <w:sz w:val="28"/>
          <w:szCs w:val="28"/>
          <w:lang w:val="en-US" w:eastAsia="zh-Hans"/>
        </w:rPr>
        <w:t>安全可控的</w:t>
      </w:r>
      <w:r>
        <w:rPr>
          <w:rFonts w:hint="eastAsia" w:ascii="楷体_GB2312" w:hAnsi="楷体_GB2312" w:eastAsia="楷体_GB2312" w:cs="楷体_GB2312"/>
          <w:sz w:val="28"/>
          <w:szCs w:val="28"/>
          <w:lang w:eastAsia="zh-Hans"/>
        </w:rPr>
        <w:t>服务器、操作系统、数据库、中间件进行系统实施部署，支持</w:t>
      </w:r>
      <w:r>
        <w:rPr>
          <w:rFonts w:hint="eastAsia" w:ascii="楷体_GB2312" w:hAnsi="楷体_GB2312" w:eastAsia="楷体_GB2312" w:cs="楷体_GB2312"/>
          <w:sz w:val="28"/>
          <w:szCs w:val="28"/>
          <w:lang w:val="en-US" w:eastAsia="zh-Hans"/>
        </w:rPr>
        <w:t>安全可控的</w:t>
      </w:r>
      <w:r>
        <w:rPr>
          <w:rFonts w:hint="eastAsia" w:ascii="楷体_GB2312" w:hAnsi="楷体_GB2312" w:eastAsia="楷体_GB2312" w:cs="楷体_GB2312"/>
          <w:sz w:val="28"/>
          <w:szCs w:val="28"/>
          <w:lang w:eastAsia="zh-Hans"/>
        </w:rPr>
        <w:t>版式文件。系统支持基于</w:t>
      </w:r>
      <w:r>
        <w:rPr>
          <w:rFonts w:hint="eastAsia" w:ascii="楷体_GB2312" w:hAnsi="楷体_GB2312" w:eastAsia="楷体_GB2312" w:cs="楷体_GB2312"/>
          <w:sz w:val="28"/>
          <w:szCs w:val="28"/>
          <w:lang w:val="en-US" w:eastAsia="zh-Hans"/>
        </w:rPr>
        <w:t>安全可控的</w:t>
      </w:r>
      <w:r>
        <w:rPr>
          <w:rFonts w:hint="eastAsia" w:ascii="楷体_GB2312" w:hAnsi="楷体_GB2312" w:eastAsia="楷体_GB2312" w:cs="楷体_GB2312"/>
          <w:sz w:val="28"/>
          <w:szCs w:val="28"/>
          <w:lang w:eastAsia="zh-Hans"/>
        </w:rPr>
        <w:t>服务器环境部署；系统支持基于</w:t>
      </w:r>
      <w:r>
        <w:rPr>
          <w:rFonts w:hint="eastAsia" w:ascii="楷体_GB2312" w:hAnsi="楷体_GB2312" w:eastAsia="楷体_GB2312" w:cs="楷体_GB2312"/>
          <w:sz w:val="28"/>
          <w:szCs w:val="28"/>
          <w:lang w:val="en-US" w:eastAsia="zh-Hans"/>
        </w:rPr>
        <w:t>安全可控的</w:t>
      </w:r>
      <w:r>
        <w:rPr>
          <w:rFonts w:hint="eastAsia" w:ascii="楷体_GB2312" w:hAnsi="楷体_GB2312" w:eastAsia="楷体_GB2312" w:cs="楷体_GB2312"/>
          <w:sz w:val="28"/>
          <w:szCs w:val="28"/>
          <w:lang w:eastAsia="zh-Hans"/>
        </w:rPr>
        <w:t>操作系统环境部署；系统支持基于</w:t>
      </w:r>
      <w:r>
        <w:rPr>
          <w:rFonts w:hint="eastAsia" w:ascii="楷体_GB2312" w:hAnsi="楷体_GB2312" w:eastAsia="楷体_GB2312" w:cs="楷体_GB2312"/>
          <w:sz w:val="28"/>
          <w:szCs w:val="28"/>
          <w:lang w:val="en-US" w:eastAsia="zh-Hans"/>
        </w:rPr>
        <w:t>安全可控的</w:t>
      </w:r>
      <w:r>
        <w:rPr>
          <w:rFonts w:hint="eastAsia" w:ascii="楷体_GB2312" w:hAnsi="楷体_GB2312" w:eastAsia="楷体_GB2312" w:cs="楷体_GB2312"/>
          <w:sz w:val="28"/>
          <w:szCs w:val="28"/>
          <w:lang w:eastAsia="zh-Hans"/>
        </w:rPr>
        <w:t>数据库部署；系统支持基于东方通中间件部署。</w:t>
      </w:r>
    </w:p>
    <w:p w14:paraId="48EC1BD1">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应用场景注册使用人数800、常用人员数量20、使用时间:工作日8：00-18：00、系统使用峰值人员数量:100人。</w:t>
      </w:r>
    </w:p>
    <w:p w14:paraId="4AC83402">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因为已建政务信息系统涉及插件或依赖包修改，大部分代码仍可用，所以通过迁移适配方式对该系统进行升级改造。</w:t>
      </w:r>
    </w:p>
    <w:p w14:paraId="57F2BCB8">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适配ARM架构芯片，基于</w:t>
      </w:r>
      <w:r>
        <w:rPr>
          <w:rFonts w:hint="eastAsia" w:ascii="楷体_GB2312" w:hAnsi="楷体_GB2312" w:eastAsia="楷体_GB2312" w:cs="楷体_GB2312"/>
          <w:sz w:val="28"/>
          <w:szCs w:val="28"/>
          <w:lang w:val="en-US" w:eastAsia="zh-Hans"/>
        </w:rPr>
        <w:t>安全可控的</w:t>
      </w:r>
      <w:r>
        <w:rPr>
          <w:rFonts w:hint="eastAsia" w:ascii="楷体_GB2312" w:hAnsi="楷体_GB2312" w:eastAsia="楷体_GB2312" w:cs="楷体_GB2312"/>
          <w:sz w:val="28"/>
          <w:szCs w:val="28"/>
          <w:lang w:eastAsia="zh-Hans"/>
        </w:rPr>
        <w:t>操作系统和数据库，使用BS架构、JAVA语言开发。</w:t>
      </w:r>
    </w:p>
    <w:p w14:paraId="421C316A">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通过更新最新依赖包和插件方式实现可以正常访问升级改造后的政务信息系统。</w:t>
      </w:r>
    </w:p>
    <w:p w14:paraId="7CCCD63F">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通过安全可靠的基础开发环境，实现统一的项目、需求、代码、测试、运维监测管理，在开发环节即开始解决适配、知识产权的问题，实现知识资产全过程管理。</w:t>
      </w:r>
    </w:p>
    <w:p w14:paraId="65F29B2B">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构建安全可靠的数据安全防护体系，做好人员、技术和管理制度的有机结合，有效防范数据风险。</w:t>
      </w:r>
    </w:p>
    <w:p w14:paraId="16FEA3AB">
      <w:pPr>
        <w:pStyle w:val="9"/>
        <w:rPr>
          <w:rFonts w:ascii="仿宋" w:hAnsi="仿宋" w:eastAsia="仿宋"/>
        </w:rPr>
      </w:pPr>
      <w:r>
        <w:rPr>
          <w:rFonts w:ascii="仿宋" w:hAnsi="仿宋" w:eastAsia="仿宋"/>
        </w:rPr>
        <w:t>性能要求</w:t>
      </w:r>
    </w:p>
    <w:p w14:paraId="4A4BB2DD">
      <w:pPr>
        <w:pStyle w:val="9"/>
        <w:numPr>
          <w:ilvl w:val="3"/>
          <w:numId w:val="1"/>
        </w:numPr>
        <w:outlineLvl w:val="3"/>
        <w:rPr>
          <w:rFonts w:hint="eastAsia" w:ascii="仿宋" w:hAnsi="仿宋" w:eastAsia="仿宋"/>
        </w:rPr>
      </w:pPr>
      <w:r>
        <w:rPr>
          <w:rFonts w:hint="eastAsia" w:ascii="仿宋" w:hAnsi="仿宋" w:eastAsia="仿宋"/>
        </w:rPr>
        <w:t>可靠性需求</w:t>
      </w:r>
    </w:p>
    <w:p w14:paraId="0963EA63">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在日常工作中，需要通过7×24小时不间断的系统性维护服务，确保系统具有良好的安全性和可靠性，同时结合备份恢复、入侵监测、防火墙等工作，共同构建起多层次，全方位的安全保障体系。另外，同时通过日常维护使系统具备一定的容错性，避免由于误操作或其他原因导致的系统错误。</w:t>
      </w:r>
    </w:p>
    <w:p w14:paraId="3D772362">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本次项目产出指标目标，如质量、时效、性能等指标如下：</w:t>
      </w:r>
    </w:p>
    <w:p w14:paraId="19B7E2ED">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（1）质量指标：系统正常运行率（99%）；</w:t>
      </w:r>
    </w:p>
    <w:p w14:paraId="5F77AEF0">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（2）时效指标：系统故障修复平均响应时间（30分钟）、系统运行维护平均响应时间（45分钟）、系统故障平均处理时间（3小时）；</w:t>
      </w:r>
    </w:p>
    <w:p w14:paraId="0FA27B0F">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（3）性能指标：系统最大用户数（500个）、系统并发数（50用户）、系统吞吐量（3请求数/秒）、请求响应时间（2秒）。</w:t>
      </w:r>
    </w:p>
    <w:p w14:paraId="15D59BB4">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（4）稳定指标：保障业务系统的运行正常：每次系统运行故障处理时间&lt;4小时，年度累积&lt;24小时。</w:t>
      </w:r>
    </w:p>
    <w:p w14:paraId="5E609795">
      <w:pPr>
        <w:pStyle w:val="9"/>
        <w:numPr>
          <w:ilvl w:val="3"/>
          <w:numId w:val="1"/>
        </w:numPr>
        <w:outlineLvl w:val="3"/>
        <w:rPr>
          <w:rFonts w:hint="eastAsia" w:ascii="仿宋" w:hAnsi="仿宋" w:eastAsia="仿宋"/>
        </w:rPr>
      </w:pPr>
      <w:r>
        <w:rPr>
          <w:rFonts w:hint="eastAsia" w:ascii="仿宋" w:hAnsi="仿宋" w:eastAsia="仿宋"/>
        </w:rPr>
        <w:t>易用性需求</w:t>
      </w:r>
    </w:p>
    <w:p w14:paraId="348D0216">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根据本项目工作的需要，在技术的使用和产品的选择方面要考虑其技术的成熟性，同时，在产品方面要考虑适用和实用，保证技术、性能满足系统建设需要。所提供的系统设计方案具有大量成功的实施案例，方案稳定成熟，有丰富的经验可以借鉴，能够确保用户在最短的时间内达到应用需求，并充分降低后期维护的影响。</w:t>
      </w:r>
    </w:p>
    <w:p w14:paraId="1BA8D248">
      <w:pPr>
        <w:pStyle w:val="9"/>
        <w:numPr>
          <w:ilvl w:val="3"/>
          <w:numId w:val="1"/>
        </w:numPr>
        <w:outlineLvl w:val="3"/>
        <w:rPr>
          <w:rFonts w:hint="eastAsia" w:ascii="仿宋" w:hAnsi="仿宋" w:eastAsia="仿宋"/>
        </w:rPr>
      </w:pPr>
      <w:r>
        <w:rPr>
          <w:rFonts w:hint="eastAsia" w:ascii="仿宋" w:hAnsi="仿宋" w:eastAsia="仿宋"/>
        </w:rPr>
        <w:t>响应速度需求</w:t>
      </w:r>
    </w:p>
    <w:p w14:paraId="16FE7A38">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响应时间指标包括页面响应时间和数据响应时间。页面响应时间为用户点击操作页面后的反应，页面反应时间不超过5秒。数据响应时间为用户点击后的到结果的时间，包括服务器反应和数据传输到客户端，普通页面不超过5秒，跨年历史数据最大不超过10秒。</w:t>
      </w:r>
    </w:p>
    <w:p w14:paraId="108BC74A">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对于报表等涉及大数据量计算的功能，系统应异步做好数据提取和计算，确保满足上述性能要求。</w:t>
      </w:r>
    </w:p>
    <w:p w14:paraId="46EE3F14">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系统的年可用率≥99.9%，系统正常使用期间不应出现数据丢失或数据异常的情况。</w:t>
      </w:r>
    </w:p>
    <w:p w14:paraId="566FB33F">
      <w:pPr>
        <w:pStyle w:val="9"/>
        <w:rPr>
          <w:rFonts w:ascii="仿宋" w:hAnsi="仿宋" w:eastAsia="仿宋"/>
        </w:rPr>
      </w:pPr>
      <w:r>
        <w:rPr>
          <w:rFonts w:ascii="仿宋" w:hAnsi="仿宋" w:eastAsia="仿宋"/>
        </w:rPr>
        <w:t>安全要求</w:t>
      </w:r>
    </w:p>
    <w:p w14:paraId="0FBA1AFB">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为加强信息安全等级保护，规范信息安全等级保护管理，提高信息安全保障能力和水平。本项目建设必须遵守《中华人民共和国网络安全法》《网络安全等级保护制度》《信息系统密码应用基本要求》等相关法规、政策及标准，系统支持商密加密。本次系统建设存在以下安全需求：</w:t>
      </w:r>
    </w:p>
    <w:p w14:paraId="5559C626">
      <w:pPr>
        <w:ind w:firstLine="560" w:firstLineChars="200"/>
        <w:jc w:val="left"/>
        <w:rPr>
          <w:rFonts w:hint="eastAsia" w:ascii="楷体_GB2312" w:hAnsi="楷体_GB2312" w:eastAsia="楷体_GB2312" w:cs="楷体_GB2312"/>
          <w:sz w:val="28"/>
          <w:szCs w:val="28"/>
        </w:rPr>
      </w:pPr>
      <w:r>
        <w:rPr>
          <w:rFonts w:hint="eastAsia" w:ascii="楷体_GB2312" w:hAnsi="楷体_GB2312" w:eastAsia="楷体_GB2312" w:cs="楷体_GB2312"/>
          <w:sz w:val="28"/>
          <w:szCs w:val="28"/>
        </w:rPr>
        <w:t>1．网络访问控制与入侵防御</w:t>
      </w:r>
    </w:p>
    <w:p w14:paraId="543EEFBC">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网络访问控制与入侵防御系统是保障系统网络安全最基础的安全措施。因此，通过防火墙与网络入侵防御系统能够非授权的网络访问进行控制以及对应用层的部分攻击进行检测阻断，提升系统的基础防护水平。</w:t>
      </w:r>
      <w:bookmarkStart w:id="14" w:name="_Hlk137023932"/>
      <w:r>
        <w:rPr>
          <w:rFonts w:hint="eastAsia" w:ascii="楷体_GB2312" w:hAnsi="楷体_GB2312" w:eastAsia="楷体_GB2312" w:cs="楷体_GB2312"/>
          <w:sz w:val="28"/>
          <w:szCs w:val="28"/>
          <w:lang w:eastAsia="zh-Hans"/>
        </w:rPr>
        <w:t>本需求通过“省科技厅政务信息化安全服务（2024年）项目”统筹建设。</w:t>
      </w:r>
      <w:bookmarkEnd w:id="14"/>
    </w:p>
    <w:p w14:paraId="08C6B3AF">
      <w:pPr>
        <w:ind w:firstLine="560" w:firstLineChars="200"/>
        <w:jc w:val="left"/>
        <w:rPr>
          <w:rFonts w:hint="eastAsia" w:ascii="楷体_GB2312" w:hAnsi="楷体_GB2312" w:eastAsia="楷体_GB2312" w:cs="楷体_GB2312"/>
          <w:sz w:val="28"/>
          <w:szCs w:val="28"/>
        </w:rPr>
      </w:pPr>
      <w:r>
        <w:rPr>
          <w:rFonts w:hint="eastAsia" w:ascii="楷体_GB2312" w:hAnsi="楷体_GB2312" w:eastAsia="楷体_GB2312" w:cs="楷体_GB2312"/>
          <w:sz w:val="28"/>
          <w:szCs w:val="28"/>
        </w:rPr>
        <w:t>2．系统运行时的安全防护与风险发现</w:t>
      </w:r>
    </w:p>
    <w:p w14:paraId="5A2A64F8">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由于系统上线后面临的是复杂多变的安全形势，因此，需要适当的技术措施来保障系统能够安全稳定的运行，通过合理的技术措施能够有效的抵御常见的入侵攻击。同时，系统运营使用过程中，需要通过风险评估、渗透测试等技术手段，及时发现系统可能存在的新的安全漏洞、新的安全风险，保障系统安全防护能力持续改进。本需求通过“省科技厅政务信息化安全服务（2024年）项目”统筹建设。</w:t>
      </w:r>
    </w:p>
    <w:p w14:paraId="08D23970">
      <w:pPr>
        <w:ind w:firstLine="560" w:firstLineChars="200"/>
        <w:jc w:val="left"/>
        <w:rPr>
          <w:rFonts w:hint="eastAsia" w:ascii="楷体_GB2312" w:hAnsi="楷体_GB2312" w:eastAsia="楷体_GB2312" w:cs="楷体_GB2312"/>
          <w:sz w:val="28"/>
          <w:szCs w:val="28"/>
        </w:rPr>
      </w:pPr>
      <w:r>
        <w:rPr>
          <w:rFonts w:hint="eastAsia" w:ascii="楷体_GB2312" w:hAnsi="楷体_GB2312" w:eastAsia="楷体_GB2312" w:cs="楷体_GB2312"/>
          <w:sz w:val="28"/>
          <w:szCs w:val="28"/>
        </w:rPr>
        <w:t>3．敏感数据泄露防护</w:t>
      </w:r>
    </w:p>
    <w:p w14:paraId="3B3FC071">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云计算环境下，应用系统的数据都采用了集中式存储的方式，易出现由于权限控制不当造成越权访问、敏感数据泄露的风险。因此，需要通过数据加密、数据库审计等措施，防范对数据的非授权访问，尽可能减少敏感数据数据泄露事件的产生。本需求通过“省科技厅政务信息化安全服务（2024年）项目”统筹建设。</w:t>
      </w:r>
    </w:p>
    <w:p w14:paraId="3189BBBF">
      <w:pPr>
        <w:ind w:firstLine="560" w:firstLineChars="200"/>
        <w:jc w:val="left"/>
        <w:rPr>
          <w:rFonts w:hint="eastAsia" w:ascii="楷体_GB2312" w:hAnsi="楷体_GB2312" w:eastAsia="楷体_GB2312" w:cs="楷体_GB2312"/>
          <w:sz w:val="28"/>
          <w:szCs w:val="28"/>
        </w:rPr>
      </w:pPr>
      <w:r>
        <w:rPr>
          <w:rFonts w:hint="eastAsia" w:ascii="楷体_GB2312" w:hAnsi="楷体_GB2312" w:eastAsia="楷体_GB2312" w:cs="楷体_GB2312"/>
          <w:sz w:val="28"/>
          <w:szCs w:val="28"/>
        </w:rPr>
        <w:t>4．安全应急演练与应急响应</w:t>
      </w:r>
    </w:p>
    <w:p w14:paraId="322B3C5C">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根据《国家网络安全事件应急预案》的要求，组织应建立健全网络安全事件应急工作机制，提高应对网络安全事件能力，预防和减少网络安全事件造成的损失和危害，保护公众利益，维护国家安全、公共安全和社会秩序。因此，针对系统制定相应的安全应急预案，通过应急演练的方式验证系统应急预案的有效性是保障系统出现安全事件时能够合理处置的必要措施。同时，通过应急响应服务能够确保在出现安全事件时，由安全专家到现场对安全事件进行快速的处置分析，将安全事件的影响程度降到最低，最大化的保障系统安全以及组织的相关利益，如社会声誉、业务损失、数据泄露等。本需求通过“省科技厅政务信息化安全服务（2024年）项目”统筹建设。</w:t>
      </w:r>
    </w:p>
    <w:p w14:paraId="5C80B4B8">
      <w:pPr>
        <w:ind w:firstLine="560" w:firstLineChars="200"/>
        <w:jc w:val="left"/>
        <w:rPr>
          <w:rFonts w:hint="eastAsia" w:ascii="楷体_GB2312" w:hAnsi="楷体_GB2312" w:eastAsia="楷体_GB2312" w:cs="楷体_GB2312"/>
          <w:sz w:val="28"/>
          <w:szCs w:val="28"/>
        </w:rPr>
      </w:pPr>
      <w:r>
        <w:rPr>
          <w:rFonts w:hint="eastAsia" w:ascii="楷体_GB2312" w:hAnsi="楷体_GB2312" w:eastAsia="楷体_GB2312" w:cs="楷体_GB2312"/>
          <w:sz w:val="28"/>
          <w:szCs w:val="28"/>
        </w:rPr>
        <w:t>5．日志安全审计</w:t>
      </w:r>
    </w:p>
    <w:p w14:paraId="26C7085C">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根据《中华人民共和国网络安全法》第二十一条第三款的要求，信息系统相关的日志必须留存不少于六个月。对于信息系统而言，无论从安全合规的角度还是自身安全保障的角度，系统日志是分析安全风险、追溯安全事件的关键因素，同时也是信息系统入侵的直接证据。通过集中的日志存储和安全审计，能够将不同日志源的日志进行有效的关联分析，及时的发现安全风险，并对事件进行溯源。本需求通过“省科技厅政务信息化安全服务（2024年）项目”统筹建设。</w:t>
      </w:r>
    </w:p>
    <w:p w14:paraId="7B089EDF">
      <w:pPr>
        <w:ind w:firstLine="560" w:firstLineChars="200"/>
        <w:jc w:val="left"/>
        <w:rPr>
          <w:rFonts w:hint="eastAsia" w:ascii="楷体_GB2312" w:hAnsi="楷体_GB2312" w:eastAsia="楷体_GB2312" w:cs="楷体_GB2312"/>
          <w:sz w:val="28"/>
          <w:szCs w:val="28"/>
        </w:rPr>
      </w:pPr>
      <w:r>
        <w:rPr>
          <w:rFonts w:hint="eastAsia" w:ascii="楷体_GB2312" w:hAnsi="楷体_GB2312" w:eastAsia="楷体_GB2312" w:cs="楷体_GB2312"/>
          <w:sz w:val="28"/>
          <w:szCs w:val="28"/>
        </w:rPr>
        <w:t>6．等级保护测评需求</w:t>
      </w:r>
    </w:p>
    <w:p w14:paraId="5905C21C">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随着国家《网络安全法》的正式实施，明确“国家实行网络安全等级保护制度”，确立了等保2.0的法律地位。其对于网络安全等级保护制度执行提出了法律要求，并重点就关键基础设施的安全保障提出了明确要求。同时，作为网络安全等级保护制度的落地要求，GB/T 22239-2008《信息系统安全等级保护基本要求》也将由1.0走入2.0时代，扩展增加了大数据、云计算、物联网、工控安全等技术的安全标准。</w:t>
      </w:r>
    </w:p>
    <w:p w14:paraId="3DA3C12C">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本项目建设需满足等保2.0技术要求，作为系统整体设计和建设标准。本需求通过“省科技厅政务信息化安全服务（2024年）项目”统筹建设。</w:t>
      </w:r>
    </w:p>
    <w:p w14:paraId="00C436DB">
      <w:pPr>
        <w:ind w:firstLine="560" w:firstLineChars="200"/>
        <w:jc w:val="left"/>
        <w:rPr>
          <w:rFonts w:hint="eastAsia" w:ascii="楷体_GB2312" w:hAnsi="楷体_GB2312" w:eastAsia="楷体_GB2312" w:cs="楷体_GB2312"/>
          <w:sz w:val="28"/>
          <w:szCs w:val="28"/>
        </w:rPr>
      </w:pPr>
      <w:r>
        <w:rPr>
          <w:rFonts w:hint="eastAsia" w:ascii="楷体_GB2312" w:hAnsi="楷体_GB2312" w:eastAsia="楷体_GB2312" w:cs="楷体_GB2312"/>
          <w:sz w:val="28"/>
          <w:szCs w:val="28"/>
        </w:rPr>
        <w:t>7．国密技术应用需求</w:t>
      </w:r>
    </w:p>
    <w:p w14:paraId="621D7A71">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本项目应严格按照密码法的安全保密要求推进“数字财政”建设，落实安全保密措施，建立符合网络安全标准化要求的保密机制。明确和落实安全保密主体责任，加强对设计、建设及运营人员的安全保密管理，确保所有人员严格遵守国家保密法律、法规和各部门安全保密相关规章制度，履行保密义务，并按要求签署保密协议。</w:t>
      </w:r>
    </w:p>
    <w:p w14:paraId="623AA529">
      <w:pPr>
        <w:pStyle w:val="8"/>
        <w:rPr>
          <w:rFonts w:ascii="仿宋" w:hAnsi="仿宋" w:eastAsia="仿宋"/>
        </w:rPr>
      </w:pPr>
      <w:r>
        <w:rPr>
          <w:rFonts w:ascii="仿宋" w:hAnsi="仿宋" w:eastAsia="仿宋"/>
        </w:rPr>
        <w:t>管理要求</w:t>
      </w:r>
    </w:p>
    <w:p w14:paraId="5165ACC1">
      <w:pPr>
        <w:pStyle w:val="9"/>
        <w:rPr>
          <w:rFonts w:ascii="仿宋" w:hAnsi="仿宋" w:eastAsia="仿宋"/>
        </w:rPr>
      </w:pPr>
      <w:r>
        <w:rPr>
          <w:rFonts w:ascii="仿宋" w:hAnsi="仿宋" w:eastAsia="仿宋"/>
        </w:rPr>
        <w:t>服务人员</w:t>
      </w:r>
    </w:p>
    <w:p w14:paraId="45F9A856">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投标人应书面承诺，如在项目实际执行过程中发生项目经理不能按采购文件要求胜任相关工作的，采购人有权要求更换项目经理，投标人应在两周内调整为符合采购文件要求且能胜任相关工作的项目经理并到位开展工作，否则采购人有权终止合同并报相关管理部门进行处理。</w:t>
      </w:r>
    </w:p>
    <w:p w14:paraId="7E11C17A">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投标人承诺的项目经理和开发实施的主要人员未经用户同意不得调整；投标人如中途更换项目经理和主要开发技术人员，应征得用户同意，否则采购人有权终止合同。</w:t>
      </w:r>
    </w:p>
    <w:p w14:paraId="0E5BE842">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服务商应指派固定的团队为本项目提供专业服务，服务团队成员不得少于 3 人。项目经理应具备 5 年以上工作经验。</w:t>
      </w:r>
    </w:p>
    <w:p w14:paraId="65A2B76D">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如需调整服务团队成员，应书面向采购人提出申请，说明申请理由，经采购人书面同意方可调整团队人员，调入人员的资历和从业经验不低于调出人员，否则视为违约行为，采购人有权终止服务合同。</w:t>
      </w:r>
    </w:p>
    <w:p w14:paraId="4BC4E0E2">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应提供以上人员相关证明资料复印件并加盖公章，并提供以上人员在本公司任职的有效外部证明材料（如加盖政府有关部门印章的《投保单》或《社会保险参保人员证明》，或单位代缴个人所得税税单等，事业法人的相关人员应提供该单位的相关证明）复印件。</w:t>
      </w:r>
    </w:p>
    <w:p w14:paraId="1A5EA407">
      <w:pPr>
        <w:pStyle w:val="9"/>
        <w:rPr>
          <w:rFonts w:ascii="仿宋" w:hAnsi="仿宋" w:eastAsia="仿宋"/>
        </w:rPr>
      </w:pPr>
      <w:r>
        <w:rPr>
          <w:rFonts w:ascii="仿宋" w:hAnsi="仿宋" w:eastAsia="仿宋"/>
        </w:rPr>
        <w:t>进度要求</w:t>
      </w:r>
    </w:p>
    <w:p w14:paraId="72C884D1">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项目服务期限为</w:t>
      </w:r>
      <w:r>
        <w:rPr>
          <w:rFonts w:hint="eastAsia" w:ascii="楷体_GB2312" w:hAnsi="楷体_GB2312" w:eastAsia="楷体_GB2312" w:cs="楷体_GB2312"/>
          <w:sz w:val="28"/>
          <w:szCs w:val="28"/>
          <w:lang w:val="en-US" w:eastAsia="zh-Hans"/>
        </w:rPr>
        <w:t>自合同签订之日起至2025年5月</w:t>
      </w:r>
      <w:r>
        <w:rPr>
          <w:rFonts w:hint="eastAsia" w:ascii="楷体_GB2312" w:hAnsi="楷体_GB2312" w:eastAsia="楷体_GB2312" w:cs="楷体_GB2312"/>
          <w:sz w:val="28"/>
          <w:szCs w:val="28"/>
          <w:lang w:eastAsia="zh-Hans"/>
        </w:rPr>
        <w:t>，具体以合同为准</w:t>
      </w:r>
      <w:r>
        <w:rPr>
          <w:rFonts w:hint="eastAsia" w:ascii="楷体_GB2312" w:hAnsi="楷体_GB2312" w:eastAsia="楷体_GB2312" w:cs="楷体_GB2312"/>
          <w:sz w:val="28"/>
          <w:szCs w:val="28"/>
          <w:lang w:val="en-US" w:eastAsia="zh-Hans"/>
        </w:rPr>
        <w:t>。</w:t>
      </w:r>
    </w:p>
    <w:p w14:paraId="123819C1">
      <w:pPr>
        <w:pStyle w:val="9"/>
        <w:rPr>
          <w:rFonts w:ascii="仿宋" w:hAnsi="仿宋" w:eastAsia="仿宋"/>
        </w:rPr>
      </w:pPr>
      <w:r>
        <w:rPr>
          <w:rFonts w:ascii="仿宋" w:hAnsi="仿宋" w:eastAsia="仿宋"/>
        </w:rPr>
        <w:t>组织实施要求</w:t>
      </w:r>
    </w:p>
    <w:p w14:paraId="5681653A">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为使项目按质、按量、按时及有序实施，投标人应建立完善、稳定的项目团队、内部组织管理方式及管理机构、协调机制、技术基础，支撑保障要求及其他相关要求，从行政组织、后勤保障和支撑条件各方面创造良好的服务环境，确保项目的顺利实施。</w:t>
      </w:r>
    </w:p>
    <w:p w14:paraId="685C71A5">
      <w:pPr>
        <w:pStyle w:val="9"/>
        <w:rPr>
          <w:rFonts w:ascii="仿宋" w:hAnsi="仿宋" w:eastAsia="仿宋"/>
        </w:rPr>
      </w:pPr>
      <w:r>
        <w:rPr>
          <w:rFonts w:ascii="仿宋" w:hAnsi="仿宋" w:eastAsia="仿宋"/>
        </w:rPr>
        <w:t>文档管理要求</w:t>
      </w:r>
    </w:p>
    <w:p w14:paraId="4882125A">
      <w:pPr>
        <w:ind w:firstLine="565" w:firstLineChars="202"/>
        <w:jc w:val="both"/>
        <w:rPr>
          <w:rFonts w:hint="eastAsia" w:ascii="楷体_GB2312" w:hAnsi="楷体_GB2312" w:eastAsia="楷体_GB2312" w:cs="楷体_GB2312"/>
          <w:i w:val="0"/>
          <w:sz w:val="28"/>
          <w:szCs w:val="28"/>
          <w:lang w:eastAsia="zh-Hans"/>
        </w:rPr>
      </w:pPr>
      <w:r>
        <w:rPr>
          <w:rFonts w:hint="eastAsia" w:ascii="楷体_GB2312" w:hAnsi="楷体_GB2312" w:eastAsia="楷体_GB2312" w:cs="楷体_GB2312"/>
          <w:sz w:val="28"/>
          <w:szCs w:val="28"/>
          <w:lang w:eastAsia="zh-Hans"/>
        </w:rPr>
        <w:t>投标人应在项目完成时，将本项目所有文档、资料汇集成册交付给采购人，所有文件要求用中文书写或有完整的中文注释。验收后，投标人按国家、省以及采购人档案管理要求，向采购人提供装订成册的纸质文档至少1套，电子文档1套。</w:t>
      </w:r>
    </w:p>
    <w:p w14:paraId="5197B4FC">
      <w:pPr>
        <w:pStyle w:val="9"/>
        <w:rPr>
          <w:rFonts w:ascii="仿宋" w:hAnsi="仿宋" w:eastAsia="仿宋"/>
        </w:rPr>
      </w:pPr>
      <w:r>
        <w:rPr>
          <w:rFonts w:ascii="仿宋" w:hAnsi="仿宋" w:eastAsia="仿宋"/>
        </w:rPr>
        <w:t>质量保证要求</w:t>
      </w:r>
    </w:p>
    <w:p w14:paraId="5198E4C8">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为保证本项目能按时高质的顺利完成，规避项目风险或将风险降至最低程度，投标人应建立项目质量管理体系，包括但不限于质量目标、质量指标、岗位责任、问题处理计划、质量评价、整改完善等内容，并建立奖惩制度。</w:t>
      </w:r>
    </w:p>
    <w:p w14:paraId="029BB0F1">
      <w:pPr>
        <w:pStyle w:val="8"/>
        <w:rPr>
          <w:rFonts w:ascii="仿宋" w:hAnsi="仿宋" w:eastAsia="仿宋"/>
        </w:rPr>
      </w:pPr>
      <w:r>
        <w:rPr>
          <w:rFonts w:ascii="仿宋" w:hAnsi="仿宋" w:eastAsia="仿宋"/>
        </w:rPr>
        <w:t>验收标准</w:t>
      </w:r>
    </w:p>
    <w:p w14:paraId="39700E5A">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项目验收按照广东省政务服务数据管理局项目验收的有关规定执行。项目验收的具体组织工作由项目采购人承担。</w:t>
      </w:r>
    </w:p>
    <w:p w14:paraId="32FFB3BA">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本项目的验收应符合广东省政务服务数据管理局相关验收管理办法的要求，同时应遵循下列标准：</w:t>
      </w:r>
    </w:p>
    <w:p w14:paraId="47C460CF">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1）实现合同和根据招标文件所编写的投标文件中列举的全部内容。</w:t>
      </w:r>
    </w:p>
    <w:p w14:paraId="3C51A056">
      <w:pPr>
        <w:ind w:firstLine="565" w:firstLineChars="202"/>
        <w:jc w:val="both"/>
        <w:rPr>
          <w:rFonts w:hint="eastAsia" w:ascii="楷体_GB2312" w:hAnsi="楷体_GB2312" w:eastAsia="楷体_GB2312" w:cs="楷体_GB2312"/>
          <w:sz w:val="28"/>
          <w:szCs w:val="28"/>
          <w:lang w:eastAsia="zh-Hans"/>
        </w:rPr>
      </w:pPr>
      <w:r>
        <w:rPr>
          <w:rFonts w:hint="eastAsia" w:ascii="楷体_GB2312" w:hAnsi="楷体_GB2312" w:eastAsia="楷体_GB2312" w:cs="楷体_GB2312"/>
          <w:sz w:val="28"/>
          <w:szCs w:val="28"/>
          <w:lang w:eastAsia="zh-Hans"/>
        </w:rPr>
        <w:t>2）项目验收包括按照合同和根据招标文件所编写的投标文件中相关的运维过程文档及广东省政务服务数据管理局项目相关验收管理办法所要求的全部文档。</w:t>
      </w:r>
    </w:p>
    <w:p w14:paraId="60B75321">
      <w:pPr>
        <w:pStyle w:val="8"/>
        <w:rPr>
          <w:rFonts w:ascii="仿宋" w:hAnsi="仿宋" w:eastAsia="仿宋"/>
        </w:rPr>
      </w:pPr>
      <w:r>
        <w:rPr>
          <w:rFonts w:ascii="仿宋" w:hAnsi="仿宋" w:eastAsia="仿宋"/>
        </w:rPr>
        <w:t>其他要求</w:t>
      </w:r>
    </w:p>
    <w:p w14:paraId="22E9B8E7">
      <w:pPr>
        <w:pStyle w:val="9"/>
        <w:rPr>
          <w:rFonts w:ascii="仿宋" w:hAnsi="仿宋" w:eastAsia="仿宋"/>
        </w:rPr>
      </w:pPr>
      <w:r>
        <w:rPr>
          <w:rFonts w:ascii="仿宋" w:hAnsi="仿宋" w:eastAsia="仿宋"/>
        </w:rPr>
        <w:t>资产权属</w:t>
      </w:r>
    </w:p>
    <w:p w14:paraId="1B1944E6">
      <w:pPr>
        <w:ind w:firstLine="565" w:firstLineChars="202"/>
        <w:jc w:val="both"/>
        <w:rPr>
          <w:rFonts w:hint="eastAsia" w:ascii="楷体_GB2312" w:hAnsi="楷体_GB2312" w:eastAsia="楷体_GB2312" w:cs="楷体_GB2312"/>
          <w:iCs w:val="0"/>
          <w:sz w:val="28"/>
          <w:szCs w:val="28"/>
          <w:lang w:eastAsia="zh-Hans"/>
        </w:rPr>
      </w:pPr>
      <w:r>
        <w:rPr>
          <w:rFonts w:hint="eastAsia" w:ascii="楷体_GB2312" w:hAnsi="楷体_GB2312" w:eastAsia="楷体_GB2312" w:cs="楷体_GB2312"/>
          <w:iCs w:val="0"/>
          <w:sz w:val="28"/>
          <w:szCs w:val="28"/>
          <w:lang w:eastAsia="zh-Hans"/>
        </w:rPr>
        <w:t>1.本合同不会引起任何已申请、登记的知识产权所有权的转移。</w:t>
      </w:r>
    </w:p>
    <w:p w14:paraId="5B53B515">
      <w:pPr>
        <w:ind w:firstLine="565" w:firstLineChars="202"/>
        <w:jc w:val="both"/>
        <w:rPr>
          <w:rFonts w:hint="eastAsia" w:ascii="楷体_GB2312" w:hAnsi="楷体_GB2312" w:eastAsia="楷体_GB2312" w:cs="楷体_GB2312"/>
          <w:iCs w:val="0"/>
          <w:sz w:val="28"/>
          <w:szCs w:val="28"/>
          <w:lang w:eastAsia="zh-Hans"/>
        </w:rPr>
      </w:pPr>
      <w:r>
        <w:rPr>
          <w:rFonts w:hint="eastAsia" w:ascii="楷体_GB2312" w:hAnsi="楷体_GB2312" w:eastAsia="楷体_GB2312" w:cs="楷体_GB2312"/>
          <w:iCs w:val="0"/>
          <w:sz w:val="28"/>
          <w:szCs w:val="28"/>
          <w:lang w:eastAsia="zh-Hans"/>
        </w:rPr>
        <w:t>2.投标人、采购人双方一致同意，本合同所涉服务成果的知识产权归属按下列第（</w:t>
      </w:r>
      <w:r>
        <w:rPr>
          <w:rFonts w:hint="eastAsia" w:ascii="楷体_GB2312" w:hAnsi="楷体_GB2312" w:cs="楷体_GB2312"/>
          <w:iCs w:val="0"/>
          <w:sz w:val="28"/>
          <w:szCs w:val="28"/>
          <w:lang w:eastAsia="zh-Hans"/>
        </w:rPr>
        <w:t>1</w:t>
      </w:r>
      <w:r>
        <w:rPr>
          <w:rFonts w:hint="eastAsia" w:ascii="楷体_GB2312" w:hAnsi="楷体_GB2312" w:eastAsia="楷体_GB2312" w:cs="楷体_GB2312"/>
          <w:iCs w:val="0"/>
          <w:sz w:val="28"/>
          <w:szCs w:val="28"/>
          <w:lang w:eastAsia="zh-Hans"/>
        </w:rPr>
        <w:t>）种方式处理：</w:t>
      </w:r>
    </w:p>
    <w:p w14:paraId="1782FDF4">
      <w:pPr>
        <w:ind w:firstLine="565" w:firstLineChars="202"/>
        <w:jc w:val="both"/>
        <w:rPr>
          <w:rFonts w:hint="eastAsia" w:ascii="楷体_GB2312" w:hAnsi="楷体_GB2312" w:eastAsia="楷体_GB2312" w:cs="楷体_GB2312"/>
          <w:iCs w:val="0"/>
          <w:sz w:val="28"/>
          <w:szCs w:val="28"/>
          <w:lang w:eastAsia="zh-Hans"/>
        </w:rPr>
      </w:pPr>
      <w:r>
        <w:rPr>
          <w:rFonts w:hint="eastAsia" w:ascii="楷体_GB2312" w:hAnsi="楷体_GB2312" w:eastAsia="楷体_GB2312" w:cs="楷体_GB2312"/>
          <w:iCs w:val="0"/>
          <w:sz w:val="28"/>
          <w:szCs w:val="28"/>
          <w:lang w:eastAsia="zh-Hans"/>
        </w:rPr>
        <w:t>（1）投标人负责开发软件服务，包括代码编写、调试、测试等开发工作，投标人为履行本合同义务所形成的服务成果的知识产权归采购人单独所有。</w:t>
      </w:r>
    </w:p>
    <w:p w14:paraId="3EAEA5D0">
      <w:pPr>
        <w:ind w:firstLine="565" w:firstLineChars="202"/>
        <w:jc w:val="both"/>
        <w:rPr>
          <w:rFonts w:hint="eastAsia" w:ascii="楷体_GB2312" w:hAnsi="楷体_GB2312" w:eastAsia="楷体_GB2312" w:cs="楷体_GB2312"/>
          <w:iCs w:val="0"/>
          <w:sz w:val="28"/>
          <w:szCs w:val="28"/>
          <w:lang w:eastAsia="zh-Hans"/>
        </w:rPr>
      </w:pPr>
      <w:r>
        <w:rPr>
          <w:rFonts w:hint="eastAsia" w:ascii="楷体_GB2312" w:hAnsi="楷体_GB2312" w:eastAsia="楷体_GB2312" w:cs="楷体_GB2312"/>
          <w:iCs w:val="0"/>
          <w:sz w:val="28"/>
          <w:szCs w:val="28"/>
          <w:lang w:eastAsia="zh-Hans"/>
        </w:rPr>
        <w:t>（2）投标人负责提供定制软件租赁服务，采购人基于本合同约定委托投标人定制开发的产品、程序、服务等的知识产权归甲、投标人共同所有，投标人应按采购人书面要求交付该共有部分的源代码；投标人在共有部分的基础上进行二次开发的及对二次开发形成的产品、程序等财产进行处置的，需经采购人书面同意，二次开发所形成的产品、程序、服务等的知识产权归开发者所有，共有部分仍归甲、投标人共同所有。投标人根据采购人授权，利用项目成果申请的商标、专利或输出的图片、视频等受知识产权保护的成果物，采购人有权无条件永久使用。</w:t>
      </w:r>
    </w:p>
    <w:p w14:paraId="2D2E9CD8">
      <w:pPr>
        <w:ind w:firstLine="565" w:firstLineChars="202"/>
        <w:jc w:val="both"/>
        <w:rPr>
          <w:rFonts w:hint="eastAsia" w:ascii="楷体_GB2312" w:hAnsi="楷体_GB2312" w:eastAsia="楷体_GB2312" w:cs="楷体_GB2312"/>
          <w:iCs w:val="0"/>
          <w:sz w:val="28"/>
          <w:szCs w:val="28"/>
          <w:lang w:eastAsia="zh-Hans"/>
        </w:rPr>
      </w:pPr>
      <w:r>
        <w:rPr>
          <w:rFonts w:hint="eastAsia" w:ascii="楷体_GB2312" w:hAnsi="楷体_GB2312" w:eastAsia="楷体_GB2312" w:cs="楷体_GB2312"/>
          <w:iCs w:val="0"/>
          <w:sz w:val="28"/>
          <w:szCs w:val="28"/>
          <w:lang w:eastAsia="zh-Hans"/>
        </w:rPr>
        <w:t>（3）投标人负责提供运营服务或成品软件租赁服务，投标人为履行本合同义务所形成的所有服务成果的知识产权（除成品软件开发涉及的知识产权）归采购人单独所有。</w:t>
      </w:r>
    </w:p>
    <w:p w14:paraId="459AF69D">
      <w:pPr>
        <w:ind w:firstLine="565" w:firstLineChars="202"/>
        <w:jc w:val="both"/>
        <w:rPr>
          <w:rFonts w:hint="eastAsia" w:ascii="楷体_GB2312" w:hAnsi="楷体_GB2312" w:eastAsia="楷体_GB2312" w:cs="楷体_GB2312"/>
          <w:iCs w:val="0"/>
          <w:sz w:val="28"/>
          <w:szCs w:val="28"/>
          <w:lang w:eastAsia="zh-Hans"/>
        </w:rPr>
      </w:pPr>
      <w:r>
        <w:rPr>
          <w:rFonts w:hint="eastAsia" w:ascii="楷体_GB2312" w:hAnsi="楷体_GB2312" w:eastAsia="楷体_GB2312" w:cs="楷体_GB2312"/>
          <w:iCs w:val="0"/>
          <w:sz w:val="28"/>
          <w:szCs w:val="28"/>
          <w:lang w:eastAsia="zh-Hans"/>
        </w:rPr>
        <w:t>（4）本项目仅包含基础设施服务租用或运维服务，不涉及知识产权权属转移。</w:t>
      </w:r>
    </w:p>
    <w:p w14:paraId="0420F6B6">
      <w:pPr>
        <w:ind w:firstLine="565" w:firstLineChars="202"/>
        <w:jc w:val="both"/>
        <w:rPr>
          <w:rFonts w:hint="eastAsia" w:ascii="楷体_GB2312" w:hAnsi="楷体_GB2312" w:eastAsia="楷体_GB2312" w:cs="楷体_GB2312"/>
          <w:iCs w:val="0"/>
          <w:sz w:val="28"/>
          <w:szCs w:val="28"/>
          <w:lang w:eastAsia="zh-Hans"/>
        </w:rPr>
      </w:pPr>
      <w:r>
        <w:rPr>
          <w:rFonts w:hint="eastAsia" w:ascii="楷体_GB2312" w:hAnsi="楷体_GB2312" w:eastAsia="楷体_GB2312" w:cs="楷体_GB2312"/>
          <w:iCs w:val="0"/>
          <w:sz w:val="28"/>
          <w:szCs w:val="28"/>
          <w:lang w:eastAsia="zh-Hans"/>
        </w:rPr>
        <w:t>3.本合同所涉及的数据所有权归</w:t>
      </w:r>
      <w:r>
        <w:rPr>
          <w:rFonts w:hint="eastAsia" w:ascii="楷体_GB2312" w:hAnsi="楷体_GB2312" w:cs="楷体_GB2312"/>
          <w:iCs w:val="0"/>
          <w:sz w:val="28"/>
          <w:szCs w:val="28"/>
          <w:lang w:val="en-US" w:eastAsia="zh-Hans"/>
        </w:rPr>
        <w:t>省科技厅</w:t>
      </w:r>
      <w:r>
        <w:rPr>
          <w:rFonts w:hint="eastAsia" w:ascii="楷体_GB2312" w:hAnsi="楷体_GB2312" w:eastAsia="楷体_GB2312" w:cs="楷体_GB2312"/>
          <w:iCs w:val="0"/>
          <w:sz w:val="28"/>
          <w:szCs w:val="28"/>
          <w:lang w:eastAsia="zh-Hans"/>
        </w:rPr>
        <w:t>所有。投标人只能用于履行本合同之义务。</w:t>
      </w:r>
    </w:p>
    <w:p w14:paraId="70259DE7">
      <w:pPr>
        <w:ind w:firstLine="565" w:firstLineChars="202"/>
        <w:jc w:val="both"/>
        <w:rPr>
          <w:rFonts w:hint="eastAsia" w:ascii="楷体_GB2312" w:hAnsi="楷体_GB2312" w:eastAsia="楷体_GB2312" w:cs="楷体_GB2312"/>
          <w:iCs w:val="0"/>
          <w:sz w:val="28"/>
          <w:szCs w:val="28"/>
          <w:lang w:eastAsia="zh-Hans"/>
        </w:rPr>
      </w:pPr>
      <w:r>
        <w:rPr>
          <w:rFonts w:hint="eastAsia" w:ascii="楷体_GB2312" w:hAnsi="楷体_GB2312" w:eastAsia="楷体_GB2312" w:cs="楷体_GB2312"/>
          <w:iCs w:val="0"/>
          <w:sz w:val="28"/>
          <w:szCs w:val="28"/>
          <w:lang w:eastAsia="zh-Hans"/>
        </w:rPr>
        <w:t>4.投标人提供的相关软件应是自行开发的产品或具备合法、合规授权，满足知识产权、安全等保</w:t>
      </w:r>
      <w:r>
        <w:rPr>
          <w:rFonts w:hint="eastAsia" w:ascii="楷体_GB2312" w:hAnsi="楷体_GB2312" w:cs="楷体_GB2312"/>
          <w:iCs w:val="0"/>
          <w:sz w:val="28"/>
          <w:szCs w:val="28"/>
          <w:lang w:val="en-US" w:eastAsia="zh-Hans"/>
        </w:rPr>
        <w:t>二</w:t>
      </w:r>
      <w:r>
        <w:rPr>
          <w:rFonts w:hint="eastAsia" w:ascii="楷体_GB2312" w:hAnsi="楷体_GB2312" w:eastAsia="楷体_GB2312" w:cs="楷体_GB2312"/>
          <w:iCs w:val="0"/>
          <w:sz w:val="28"/>
          <w:szCs w:val="28"/>
          <w:lang w:eastAsia="zh-Hans"/>
        </w:rPr>
        <w:t>级等方面的有关规定和要求。</w:t>
      </w:r>
    </w:p>
    <w:p w14:paraId="2F9F1524">
      <w:pPr>
        <w:ind w:firstLine="565" w:firstLineChars="202"/>
        <w:jc w:val="both"/>
        <w:rPr>
          <w:rFonts w:hint="eastAsia" w:ascii="楷体_GB2312" w:hAnsi="楷体_GB2312" w:eastAsia="楷体_GB2312" w:cs="楷体_GB2312"/>
          <w:iCs w:val="0"/>
          <w:sz w:val="28"/>
          <w:szCs w:val="28"/>
          <w:lang w:eastAsia="zh-Hans"/>
        </w:rPr>
      </w:pPr>
      <w:r>
        <w:rPr>
          <w:rFonts w:hint="eastAsia" w:ascii="楷体_GB2312" w:hAnsi="楷体_GB2312" w:eastAsia="楷体_GB2312" w:cs="楷体_GB2312"/>
          <w:iCs w:val="0"/>
          <w:sz w:val="28"/>
          <w:szCs w:val="28"/>
          <w:lang w:eastAsia="zh-Hans"/>
        </w:rPr>
        <w:t>5.投标人保证向采购人提供的服务成果是其独立实施完成，不存在任何侵犯第三方专利权、商标权、著作权等合法权益。如因投标人提供的服务成果侵犯任何第三方的合法权益，导致该第三方追究采购人责任的，投标人应负责解决并赔偿因此给采购人造成的全部损失。</w:t>
      </w:r>
    </w:p>
    <w:p w14:paraId="758BEE04">
      <w:pPr>
        <w:pStyle w:val="9"/>
        <w:rPr>
          <w:rFonts w:ascii="仿宋" w:hAnsi="仿宋" w:eastAsia="仿宋"/>
        </w:rPr>
      </w:pPr>
      <w:r>
        <w:rPr>
          <w:rFonts w:ascii="仿宋" w:hAnsi="仿宋" w:eastAsia="仿宋"/>
        </w:rPr>
        <w:t>保密要求</w:t>
      </w:r>
    </w:p>
    <w:p w14:paraId="40B79CF8">
      <w:pPr>
        <w:ind w:firstLine="565" w:firstLineChars="202"/>
        <w:jc w:val="both"/>
        <w:rPr>
          <w:rFonts w:hint="eastAsia" w:ascii="楷体_GB2312" w:hAnsi="楷体_GB2312" w:eastAsia="楷体_GB2312" w:cs="楷体_GB2312"/>
          <w:iCs w:val="0"/>
          <w:sz w:val="28"/>
          <w:szCs w:val="28"/>
          <w:lang w:eastAsia="zh-Hans"/>
        </w:rPr>
      </w:pPr>
      <w:r>
        <w:rPr>
          <w:rFonts w:hint="eastAsia" w:ascii="楷体_GB2312" w:hAnsi="楷体_GB2312" w:eastAsia="楷体_GB2312" w:cs="楷体_GB2312"/>
          <w:iCs w:val="0"/>
          <w:sz w:val="28"/>
          <w:szCs w:val="28"/>
          <w:lang w:eastAsia="zh-Hans"/>
        </w:rPr>
        <w:t>1.投标人应签订保密协议，对其因身份、职务、职业或技术关系而知悉的采购人商业秘密和党政机关保密信息应严格保守，保证不被披露或使用，包括意外或过失。</w:t>
      </w:r>
    </w:p>
    <w:p w14:paraId="1F74C032">
      <w:pPr>
        <w:ind w:firstLine="565" w:firstLineChars="202"/>
        <w:jc w:val="both"/>
        <w:rPr>
          <w:rFonts w:hint="eastAsia" w:ascii="楷体_GB2312" w:hAnsi="楷体_GB2312" w:eastAsia="楷体_GB2312" w:cs="楷体_GB2312"/>
          <w:iCs w:val="0"/>
          <w:sz w:val="28"/>
          <w:szCs w:val="28"/>
          <w:lang w:eastAsia="zh-Hans"/>
        </w:rPr>
      </w:pPr>
      <w:r>
        <w:rPr>
          <w:rFonts w:hint="eastAsia" w:ascii="楷体_GB2312" w:hAnsi="楷体_GB2312" w:eastAsia="楷体_GB2312" w:cs="楷体_GB2312"/>
          <w:iCs w:val="0"/>
          <w:sz w:val="28"/>
          <w:szCs w:val="28"/>
          <w:lang w:eastAsia="zh-Hans"/>
        </w:rPr>
        <w:t xml:space="preserve">2.投标人不得以竞争为目的、或出于私利、或为第三人谋利而擅自保存、披露、使用采购人商业秘密和党政机关保密信息；不得直接或间接地向无关人员泄露采购人的商业秘密和党政机关保密信息；不得向不承担保密义务的任何第三人披露采购人的商业秘密和党政机关保密信息。投标人在从事政府项目时，不得擅自记录、复制、拍摄、摘抄、收藏在工作中涉及的保密信息，严禁将涉及政府项目的任何资料、数据透露或以其他方式提供给项目以外的其他方或投标人内部与该项目无关的任何人员。 </w:t>
      </w:r>
    </w:p>
    <w:p w14:paraId="377C1CA4">
      <w:pPr>
        <w:ind w:firstLine="565" w:firstLineChars="202"/>
        <w:jc w:val="both"/>
        <w:rPr>
          <w:rFonts w:hint="eastAsia" w:ascii="楷体_GB2312" w:hAnsi="楷体_GB2312" w:eastAsia="楷体_GB2312" w:cs="楷体_GB2312"/>
          <w:iCs w:val="0"/>
          <w:sz w:val="28"/>
          <w:szCs w:val="28"/>
          <w:lang w:eastAsia="zh-Hans"/>
        </w:rPr>
      </w:pPr>
      <w:r>
        <w:rPr>
          <w:rFonts w:hint="eastAsia" w:ascii="楷体_GB2312" w:hAnsi="楷体_GB2312" w:eastAsia="楷体_GB2312" w:cs="楷体_GB2312"/>
          <w:iCs w:val="0"/>
          <w:sz w:val="28"/>
          <w:szCs w:val="28"/>
          <w:lang w:eastAsia="zh-Hans"/>
        </w:rPr>
        <w:t xml:space="preserve">3.投标人对于工作期间知悉采购人的商业秘密和党政机关保密信息（包括业务信息在内）或工作过程中接触到的政府机关文件（包括内部发文、各类通知及会议记录等）的内容，同样承担保密责任，严禁将政府机关内部会议、谈话内容泄露给无关人员；不得翻阅与工作无关的文件和资料。 </w:t>
      </w:r>
    </w:p>
    <w:p w14:paraId="4391EE5B">
      <w:pPr>
        <w:ind w:firstLine="565" w:firstLineChars="202"/>
        <w:jc w:val="both"/>
        <w:rPr>
          <w:rFonts w:hint="eastAsia" w:ascii="楷体_GB2312" w:hAnsi="楷体_GB2312" w:eastAsia="楷体_GB2312" w:cs="楷体_GB2312"/>
          <w:iCs w:val="0"/>
          <w:sz w:val="28"/>
          <w:szCs w:val="28"/>
          <w:lang w:eastAsia="zh-Hans"/>
        </w:rPr>
      </w:pPr>
      <w:r>
        <w:rPr>
          <w:rFonts w:hint="eastAsia" w:ascii="楷体_GB2312" w:hAnsi="楷体_GB2312" w:eastAsia="楷体_GB2312" w:cs="楷体_GB2312"/>
          <w:iCs w:val="0"/>
          <w:sz w:val="28"/>
          <w:szCs w:val="28"/>
          <w:lang w:eastAsia="zh-Hans"/>
        </w:rPr>
        <w:t xml:space="preserve">4.严禁泄露在工作中接触到的政府机关科技研究、发明、装备器材及其技术资料和政府工作信息。 </w:t>
      </w:r>
    </w:p>
    <w:p w14:paraId="3F3B0C79">
      <w:pPr>
        <w:pStyle w:val="9"/>
        <w:rPr>
          <w:rFonts w:ascii="仿宋" w:hAnsi="仿宋" w:eastAsia="仿宋"/>
        </w:rPr>
      </w:pPr>
      <w:r>
        <w:rPr>
          <w:rFonts w:ascii="仿宋" w:hAnsi="仿宋" w:eastAsia="仿宋"/>
        </w:rPr>
        <w:t>监理要求</w:t>
      </w:r>
    </w:p>
    <w:p w14:paraId="3847EE36">
      <w:pPr>
        <w:ind w:firstLine="565" w:firstLineChars="202"/>
        <w:jc w:val="both"/>
        <w:rPr>
          <w:rFonts w:hint="eastAsia" w:ascii="楷体_GB2312" w:hAnsi="楷体_GB2312" w:eastAsia="楷体_GB2312" w:cs="楷体_GB2312"/>
          <w:iCs w:val="0"/>
          <w:sz w:val="28"/>
          <w:szCs w:val="28"/>
          <w:lang w:eastAsia="zh-Hans"/>
        </w:rPr>
      </w:pPr>
      <w:r>
        <w:rPr>
          <w:rFonts w:hint="eastAsia" w:ascii="楷体_GB2312" w:hAnsi="楷体_GB2312" w:eastAsia="楷体_GB2312" w:cs="楷体_GB2312"/>
          <w:iCs w:val="0"/>
          <w:sz w:val="28"/>
          <w:szCs w:val="28"/>
          <w:lang w:eastAsia="zh-Hans"/>
        </w:rPr>
        <w:t>投标人须承诺，在项目开展过程中接受采购人指定的咨询监理机构的监理。</w:t>
      </w:r>
    </w:p>
    <w:p w14:paraId="4C109814">
      <w:pPr>
        <w:pStyle w:val="7"/>
        <w:adjustRightInd w:val="0"/>
        <w:snapToGrid w:val="0"/>
        <w:spacing w:line="560" w:lineRule="exact"/>
        <w:jc w:val="both"/>
        <w:rPr>
          <w:rFonts w:hint="eastAsia" w:ascii="Times New Roman" w:hAnsi="Times New Roman" w:eastAsia="黑体" w:cs="Times New Roman"/>
          <w:kern w:val="0"/>
          <w:lang w:val="en-US" w:eastAsia="zh-CN"/>
        </w:rPr>
      </w:pPr>
      <w:r>
        <w:rPr>
          <w:rFonts w:hint="eastAsia" w:ascii="Times New Roman" w:hAnsi="Times New Roman" w:cs="Times New Roman"/>
          <w:kern w:val="0"/>
          <w:lang w:val="en-US" w:eastAsia="zh-CN"/>
        </w:rPr>
        <w:t>评审标准</w:t>
      </w:r>
    </w:p>
    <w:p w14:paraId="78C1BEA8">
      <w:pPr>
        <w:ind w:firstLine="565" w:firstLineChars="202"/>
        <w:jc w:val="both"/>
        <w:rPr>
          <w:rFonts w:hint="eastAsia" w:ascii="楷体_GB2312" w:hAnsi="楷体_GB2312" w:cs="楷体_GB2312"/>
          <w:sz w:val="28"/>
          <w:szCs w:val="28"/>
          <w:lang w:eastAsia="zh-Hans"/>
        </w:rPr>
      </w:pPr>
      <w:r>
        <w:rPr>
          <w:rFonts w:hint="eastAsia" w:ascii="楷体_GB2312" w:hAnsi="楷体_GB2312" w:cs="楷体_GB2312"/>
          <w:sz w:val="28"/>
          <w:szCs w:val="28"/>
          <w:lang w:eastAsia="zh-Hans"/>
        </w:rPr>
        <w:t>表一</w:t>
      </w:r>
      <w:r>
        <w:rPr>
          <w:rFonts w:hint="eastAsia" w:ascii="楷体_GB2312" w:hAnsi="楷体_GB2312" w:cs="楷体_GB2312"/>
          <w:sz w:val="28"/>
          <w:szCs w:val="28"/>
          <w:lang w:val="en-US" w:eastAsia="zh-Hans"/>
        </w:rPr>
        <w:t xml:space="preserve"> </w:t>
      </w:r>
      <w:r>
        <w:rPr>
          <w:rFonts w:hint="eastAsia" w:ascii="楷体_GB2312" w:hAnsi="楷体_GB2312" w:cs="楷体_GB2312"/>
          <w:sz w:val="28"/>
          <w:szCs w:val="28"/>
          <w:lang w:eastAsia="zh-Hans"/>
        </w:rPr>
        <w:t>资格性审查表：</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90"/>
        <w:gridCol w:w="3178"/>
        <w:gridCol w:w="5075"/>
      </w:tblGrid>
      <w:tr w14:paraId="01D752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noWrap w:val="0"/>
            <w:vAlign w:val="center"/>
          </w:tcPr>
          <w:p w14:paraId="57F9B56F">
            <w:pPr>
              <w:jc w:val="center"/>
            </w:pPr>
            <w:r>
              <w:t>序号</w:t>
            </w:r>
          </w:p>
        </w:tc>
        <w:tc>
          <w:tcPr>
            <w:tcW w:w="8253" w:type="dxa"/>
            <w:gridSpan w:val="2"/>
            <w:noWrap w:val="0"/>
            <w:vAlign w:val="center"/>
          </w:tcPr>
          <w:p w14:paraId="0AE96FC5">
            <w:pPr>
              <w:jc w:val="center"/>
            </w:pPr>
            <w:r>
              <w:t>资格审查内容</w:t>
            </w:r>
          </w:p>
        </w:tc>
      </w:tr>
      <w:tr w14:paraId="38A1DB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noWrap w:val="0"/>
            <w:vAlign w:val="center"/>
          </w:tcPr>
          <w:p w14:paraId="25DA612E">
            <w:pPr>
              <w:jc w:val="center"/>
            </w:pPr>
            <w:r>
              <w:t>1</w:t>
            </w:r>
          </w:p>
        </w:tc>
        <w:tc>
          <w:tcPr>
            <w:tcW w:w="3178" w:type="dxa"/>
            <w:noWrap w:val="0"/>
            <w:vAlign w:val="center"/>
          </w:tcPr>
          <w:p w14:paraId="3873D2DA">
            <w:pPr>
              <w:jc w:val="center"/>
            </w:pPr>
            <w:r>
              <w:t>具有独立承担民事责任的能力</w:t>
            </w:r>
          </w:p>
        </w:tc>
        <w:tc>
          <w:tcPr>
            <w:tcW w:w="5075" w:type="dxa"/>
            <w:noWrap w:val="0"/>
            <w:vAlign w:val="top"/>
          </w:tcPr>
          <w:p w14:paraId="37DBBC84">
            <w:r>
              <w:t>提供在中华人民共和国境内注册的法人或其他组织的营业执照或事业单位法人证书或社会团体法人登记证书复印件，如响应供应商为自然人的提供自然人身份证明复印件；如国家另有规定的，则从其规定。（如供应商为分公司，须取得具有法人资格的总公司（总所）出具给分公司的授权书，并提供总公司（总所）和分公司的营业执照（执业许可证）复印件。已由总公司（总所）授权的，总公司（总所）取得的相关资质证书对分公司有效，法律法规或者行业另有规定的除外）</w:t>
            </w:r>
          </w:p>
        </w:tc>
      </w:tr>
      <w:tr w14:paraId="31520B7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noWrap w:val="0"/>
            <w:vAlign w:val="center"/>
          </w:tcPr>
          <w:p w14:paraId="741D74A5">
            <w:pPr>
              <w:jc w:val="center"/>
            </w:pPr>
            <w:r>
              <w:t>2</w:t>
            </w:r>
          </w:p>
        </w:tc>
        <w:tc>
          <w:tcPr>
            <w:tcW w:w="3178" w:type="dxa"/>
            <w:noWrap w:val="0"/>
            <w:vAlign w:val="center"/>
          </w:tcPr>
          <w:p w14:paraId="18555344">
            <w:pPr>
              <w:jc w:val="center"/>
            </w:pPr>
            <w:r>
              <w:t>有依法缴纳税收和社会保障资金的良好记录</w:t>
            </w:r>
          </w:p>
        </w:tc>
        <w:tc>
          <w:tcPr>
            <w:tcW w:w="5075" w:type="dxa"/>
            <w:noWrap w:val="0"/>
            <w:vAlign w:val="top"/>
          </w:tcPr>
          <w:p w14:paraId="23EA49F5">
            <w:r>
              <w:t>提供响应文件提交截止日前6个月内任意1个月依法缴纳税收和社会保障资金的相关材料。如依法免税或不需要缴纳社会保障资金的，提供相应证明材料。</w:t>
            </w:r>
          </w:p>
        </w:tc>
      </w:tr>
      <w:tr w14:paraId="0F8D9E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noWrap w:val="0"/>
            <w:vAlign w:val="center"/>
          </w:tcPr>
          <w:p w14:paraId="7B636690">
            <w:pPr>
              <w:jc w:val="center"/>
            </w:pPr>
            <w:r>
              <w:t>3</w:t>
            </w:r>
          </w:p>
        </w:tc>
        <w:tc>
          <w:tcPr>
            <w:tcW w:w="3178" w:type="dxa"/>
            <w:noWrap w:val="0"/>
            <w:vAlign w:val="center"/>
          </w:tcPr>
          <w:p w14:paraId="5AE8BCCB">
            <w:pPr>
              <w:jc w:val="center"/>
            </w:pPr>
            <w:r>
              <w:t>具有良好的商业信誉和健全的财务会计制度</w:t>
            </w:r>
          </w:p>
        </w:tc>
        <w:tc>
          <w:tcPr>
            <w:tcW w:w="5075" w:type="dxa"/>
            <w:noWrap w:val="0"/>
            <w:vAlign w:val="top"/>
          </w:tcPr>
          <w:p w14:paraId="2ACD1872">
            <w:r>
              <w:rPr>
                <w:rFonts w:hint="eastAsia"/>
                <w:lang w:eastAsia="zh-CN"/>
              </w:rPr>
              <w:t>提供2023年度财务状况报告或2024年至今任意1个月的财务状况报告复印件，或基本开户行出具的资信证明</w:t>
            </w:r>
            <w:r>
              <w:t>。</w:t>
            </w:r>
          </w:p>
        </w:tc>
      </w:tr>
      <w:tr w14:paraId="507EE0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noWrap w:val="0"/>
            <w:vAlign w:val="center"/>
          </w:tcPr>
          <w:p w14:paraId="7B3BFEC9">
            <w:pPr>
              <w:jc w:val="center"/>
            </w:pPr>
            <w:r>
              <w:t>4</w:t>
            </w:r>
          </w:p>
        </w:tc>
        <w:tc>
          <w:tcPr>
            <w:tcW w:w="3178" w:type="dxa"/>
            <w:noWrap w:val="0"/>
            <w:vAlign w:val="center"/>
          </w:tcPr>
          <w:p w14:paraId="4B846998">
            <w:pPr>
              <w:jc w:val="center"/>
            </w:pPr>
            <w:r>
              <w:t>履行合同所必需的设备和专业技术能力</w:t>
            </w:r>
          </w:p>
        </w:tc>
        <w:tc>
          <w:tcPr>
            <w:tcW w:w="5075" w:type="dxa"/>
            <w:noWrap w:val="0"/>
            <w:vAlign w:val="top"/>
          </w:tcPr>
          <w:p w14:paraId="2A2A9DE9">
            <w:r>
              <w:t>提供承诺书（格式自拟）。</w:t>
            </w:r>
          </w:p>
        </w:tc>
      </w:tr>
      <w:tr w14:paraId="56F29A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noWrap w:val="0"/>
            <w:vAlign w:val="center"/>
          </w:tcPr>
          <w:p w14:paraId="13EEECEE">
            <w:pPr>
              <w:jc w:val="center"/>
            </w:pPr>
            <w:r>
              <w:t>5</w:t>
            </w:r>
          </w:p>
        </w:tc>
        <w:tc>
          <w:tcPr>
            <w:tcW w:w="3178" w:type="dxa"/>
            <w:noWrap w:val="0"/>
            <w:vAlign w:val="center"/>
          </w:tcPr>
          <w:p w14:paraId="57A503F3">
            <w:pPr>
              <w:jc w:val="center"/>
            </w:pPr>
            <w:r>
              <w:t>参加采购活动前3年内，在经营活动中没有重大违法记录</w:t>
            </w:r>
          </w:p>
        </w:tc>
        <w:tc>
          <w:tcPr>
            <w:tcW w:w="5075" w:type="dxa"/>
            <w:noWrap w:val="0"/>
            <w:vAlign w:val="top"/>
          </w:tcPr>
          <w:p w14:paraId="633E561D">
            <w:r>
              <w:t>参照《响应承诺函》相关承诺格式内容。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14:paraId="012B96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noWrap w:val="0"/>
            <w:vAlign w:val="center"/>
          </w:tcPr>
          <w:p w14:paraId="26FA927D">
            <w:pPr>
              <w:jc w:val="center"/>
            </w:pPr>
            <w:r>
              <w:t>6</w:t>
            </w:r>
          </w:p>
        </w:tc>
        <w:tc>
          <w:tcPr>
            <w:tcW w:w="3178" w:type="dxa"/>
            <w:noWrap w:val="0"/>
            <w:vAlign w:val="center"/>
          </w:tcPr>
          <w:p w14:paraId="24B0BB4D">
            <w:pPr>
              <w:jc w:val="center"/>
            </w:pPr>
            <w:r>
              <w:t>信用记录</w:t>
            </w:r>
          </w:p>
        </w:tc>
        <w:tc>
          <w:tcPr>
            <w:tcW w:w="5075" w:type="dxa"/>
            <w:noWrap w:val="0"/>
            <w:vAlign w:val="top"/>
          </w:tcPr>
          <w:p w14:paraId="45716A1D">
            <w: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14:paraId="3BCD4B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noWrap w:val="0"/>
            <w:vAlign w:val="center"/>
          </w:tcPr>
          <w:p w14:paraId="6A9B648D">
            <w:pPr>
              <w:jc w:val="center"/>
            </w:pPr>
            <w:r>
              <w:t>7</w:t>
            </w:r>
          </w:p>
        </w:tc>
        <w:tc>
          <w:tcPr>
            <w:tcW w:w="3178" w:type="dxa"/>
            <w:noWrap w:val="0"/>
            <w:vAlign w:val="center"/>
          </w:tcPr>
          <w:p w14:paraId="5D3D119E">
            <w:pPr>
              <w:jc w:val="center"/>
            </w:pPr>
            <w:r>
              <w:t>供应商必须符合法律、行政法规规定的其他条件</w:t>
            </w:r>
          </w:p>
        </w:tc>
        <w:tc>
          <w:tcPr>
            <w:tcW w:w="5075" w:type="dxa"/>
            <w:noWrap w:val="0"/>
            <w:vAlign w:val="top"/>
          </w:tcPr>
          <w:p w14:paraId="64AF45D2">
            <w:r>
              <w:t>供应商必须符合法律、行政法规规定的其他条件：单位负责人为同一人或者存在直接控股、管理关系的不同供应商，不得同时参加本采购项目（或采购包）投标（响应）。为本项目提供整体设计、规范编制或者项目管理、监理、检测等服务的供应商，不得再参与本项目投标（响应）。参照《响应承诺函》相关承诺格式内容。</w:t>
            </w:r>
          </w:p>
        </w:tc>
      </w:tr>
    </w:tbl>
    <w:p w14:paraId="0E366EA5">
      <w:pPr>
        <w:wordWrap/>
        <w:spacing w:line="360" w:lineRule="auto"/>
        <w:ind w:firstLine="480" w:firstLineChars="0"/>
        <w:jc w:val="left"/>
        <w:rPr>
          <w:rFonts w:hint="eastAsia" w:ascii="楷体_GB2312" w:hAnsi="楷体_GB2312" w:eastAsia="楷体_GB2312" w:cs="楷体_GB2312"/>
          <w:sz w:val="28"/>
          <w:szCs w:val="28"/>
        </w:rPr>
      </w:pPr>
      <w:r>
        <w:rPr>
          <w:rFonts w:hint="eastAsia" w:ascii="宋体" w:hAnsi="宋体" w:cs="宋体"/>
          <w:color w:val="auto"/>
        </w:rPr>
        <w:t>注：资格性审查未通过的，视为评审不通过。</w:t>
      </w:r>
    </w:p>
    <w:p w14:paraId="6EB25768">
      <w:pPr>
        <w:ind w:firstLine="565" w:firstLineChars="202"/>
        <w:jc w:val="both"/>
        <w:rPr>
          <w:rFonts w:hint="eastAsia" w:ascii="楷体_GB2312" w:hAnsi="楷体_GB2312" w:eastAsia="楷体_GB2312" w:cs="楷体_GB2312"/>
          <w:iCs w:val="0"/>
          <w:sz w:val="28"/>
          <w:szCs w:val="28"/>
          <w:lang w:eastAsia="zh-Hans"/>
        </w:rPr>
      </w:pPr>
      <w:r>
        <w:rPr>
          <w:rFonts w:hint="eastAsia" w:ascii="楷体_GB2312" w:hAnsi="楷体_GB2312" w:eastAsia="楷体_GB2312" w:cs="楷体_GB2312"/>
          <w:iCs w:val="0"/>
          <w:sz w:val="28"/>
          <w:szCs w:val="28"/>
          <w:lang w:eastAsia="zh-Hans"/>
        </w:rPr>
        <w:t>表二 具体评审标准表：</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22"/>
        <w:gridCol w:w="1978"/>
        <w:gridCol w:w="6226"/>
      </w:tblGrid>
      <w:tr w14:paraId="47B1B5F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noWrap w:val="0"/>
            <w:vAlign w:val="top"/>
          </w:tcPr>
          <w:p w14:paraId="0FCC4EC8">
            <w:pPr>
              <w:jc w:val="center"/>
            </w:pPr>
            <w:r>
              <w:t>评审因素</w:t>
            </w:r>
          </w:p>
        </w:tc>
        <w:tc>
          <w:tcPr>
            <w:tcW w:w="8204" w:type="dxa"/>
            <w:gridSpan w:val="2"/>
            <w:noWrap w:val="0"/>
            <w:vAlign w:val="top"/>
          </w:tcPr>
          <w:p w14:paraId="463B15FC">
            <w:pPr>
              <w:jc w:val="center"/>
            </w:pPr>
            <w:r>
              <w:t>评审标准</w:t>
            </w:r>
          </w:p>
        </w:tc>
      </w:tr>
      <w:tr w14:paraId="7DA49A3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noWrap w:val="0"/>
            <w:vAlign w:val="top"/>
          </w:tcPr>
          <w:p w14:paraId="07A26B18">
            <w:pPr>
              <w:jc w:val="center"/>
            </w:pPr>
            <w:r>
              <w:t>分值构成</w:t>
            </w:r>
          </w:p>
        </w:tc>
        <w:tc>
          <w:tcPr>
            <w:tcW w:w="8204" w:type="dxa"/>
            <w:gridSpan w:val="2"/>
            <w:noWrap w:val="0"/>
            <w:vAlign w:val="top"/>
          </w:tcPr>
          <w:p w14:paraId="1574C8CF">
            <w:pPr>
              <w:rPr>
                <w:color w:val="auto"/>
              </w:rPr>
            </w:pPr>
            <w:r>
              <w:rPr>
                <w:color w:val="auto"/>
              </w:rPr>
              <w:t>商务部分30.0分</w:t>
            </w:r>
          </w:p>
          <w:p w14:paraId="4931DBE1">
            <w:pPr>
              <w:rPr>
                <w:color w:val="auto"/>
              </w:rPr>
            </w:pPr>
            <w:r>
              <w:rPr>
                <w:color w:val="auto"/>
              </w:rPr>
              <w:t>技术部分60.0分</w:t>
            </w:r>
          </w:p>
          <w:p w14:paraId="35707EBA">
            <w:pPr>
              <w:rPr>
                <w:color w:val="auto"/>
              </w:rPr>
            </w:pPr>
            <w:r>
              <w:rPr>
                <w:color w:val="auto"/>
              </w:rPr>
              <w:t>报价得分10.0分</w:t>
            </w:r>
          </w:p>
        </w:tc>
      </w:tr>
      <w:tr w14:paraId="72E3D7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restart"/>
            <w:noWrap w:val="0"/>
            <w:vAlign w:val="top"/>
          </w:tcPr>
          <w:p w14:paraId="69FAD6FE">
            <w:pPr>
              <w:jc w:val="center"/>
            </w:pPr>
            <w:r>
              <w:t>技术部分</w:t>
            </w:r>
          </w:p>
        </w:tc>
        <w:tc>
          <w:tcPr>
            <w:tcW w:w="1978" w:type="dxa"/>
            <w:noWrap w:val="0"/>
            <w:vAlign w:val="center"/>
          </w:tcPr>
          <w:p w14:paraId="605CEF38">
            <w:pPr>
              <w:jc w:val="center"/>
              <w:rPr>
                <w:color w:val="auto"/>
              </w:rPr>
            </w:pPr>
            <w:r>
              <w:rPr>
                <w:color w:val="auto"/>
              </w:rPr>
              <w:t>技术总体方案 (</w:t>
            </w:r>
            <w:r>
              <w:rPr>
                <w:rFonts w:hint="eastAsia"/>
                <w:color w:val="auto"/>
                <w:lang w:val="en-US" w:eastAsia="zh-CN"/>
              </w:rPr>
              <w:t>20</w:t>
            </w:r>
            <w:r>
              <w:rPr>
                <w:color w:val="auto"/>
              </w:rPr>
              <w:t>.0分)</w:t>
            </w:r>
          </w:p>
        </w:tc>
        <w:tc>
          <w:tcPr>
            <w:tcW w:w="6226" w:type="dxa"/>
            <w:noWrap w:val="0"/>
            <w:vAlign w:val="top"/>
          </w:tcPr>
          <w:p w14:paraId="0371BCC2">
            <w:pPr>
              <w:jc w:val="left"/>
              <w:rPr>
                <w:color w:val="auto"/>
              </w:rPr>
            </w:pPr>
            <w:r>
              <w:rPr>
                <w:color w:val="auto"/>
              </w:rPr>
              <w:t>投标人结合当前广东数字政府改革建设情况，设计技术总体方案，评分细则如下：投标人对广东省数字政府建设的总体架构、建设运营、全省“一片云”“一张网”的数字政府基础设施和公共支撑能力建设、数字政府核心应用建设等现状情况分析准确，结合</w:t>
            </w:r>
            <w:r>
              <w:rPr>
                <w:rFonts w:hint="eastAsia"/>
                <w:color w:val="auto"/>
              </w:rPr>
              <w:t>本项目</w:t>
            </w:r>
            <w:r>
              <w:rPr>
                <w:color w:val="auto"/>
              </w:rPr>
              <w:t>需求的内容，站在数字政府的大平台、大系统的视角，设计技术总体方案。</w:t>
            </w:r>
          </w:p>
          <w:p w14:paraId="2A089110">
            <w:pPr>
              <w:jc w:val="left"/>
              <w:rPr>
                <w:color w:val="auto"/>
              </w:rPr>
            </w:pPr>
            <w:r>
              <w:rPr>
                <w:color w:val="auto"/>
              </w:rPr>
              <w:t>（1）方案完全满足并优于采购需求，得</w:t>
            </w:r>
            <w:r>
              <w:rPr>
                <w:rFonts w:hint="eastAsia"/>
                <w:color w:val="auto"/>
                <w:lang w:val="en-US" w:eastAsia="zh-CN"/>
              </w:rPr>
              <w:t>2</w:t>
            </w:r>
            <w:r>
              <w:rPr>
                <w:rFonts w:hint="eastAsia"/>
                <w:color w:val="auto"/>
              </w:rPr>
              <w:t>0</w:t>
            </w:r>
            <w:r>
              <w:rPr>
                <w:color w:val="auto"/>
              </w:rPr>
              <w:t>分；</w:t>
            </w:r>
          </w:p>
          <w:p w14:paraId="47A7053D">
            <w:pPr>
              <w:jc w:val="left"/>
              <w:rPr>
                <w:color w:val="auto"/>
              </w:rPr>
            </w:pPr>
            <w:r>
              <w:rPr>
                <w:color w:val="auto"/>
              </w:rPr>
              <w:t>（2）方案完全满足采购需求，得</w:t>
            </w:r>
            <w:r>
              <w:rPr>
                <w:rFonts w:hint="eastAsia"/>
                <w:color w:val="auto"/>
                <w:lang w:val="en-US" w:eastAsia="zh-CN"/>
              </w:rPr>
              <w:t>15</w:t>
            </w:r>
            <w:r>
              <w:rPr>
                <w:color w:val="auto"/>
              </w:rPr>
              <w:t>分；</w:t>
            </w:r>
          </w:p>
          <w:p w14:paraId="24274F84">
            <w:pPr>
              <w:jc w:val="left"/>
              <w:rPr>
                <w:color w:val="auto"/>
              </w:rPr>
            </w:pPr>
            <w:r>
              <w:rPr>
                <w:color w:val="auto"/>
              </w:rPr>
              <w:t>（3）方案不能完全满足采购需求，得</w:t>
            </w:r>
            <w:r>
              <w:rPr>
                <w:rFonts w:hint="eastAsia"/>
                <w:color w:val="auto"/>
                <w:lang w:val="en-US" w:eastAsia="zh-CN"/>
              </w:rPr>
              <w:t>5</w:t>
            </w:r>
            <w:r>
              <w:rPr>
                <w:color w:val="auto"/>
              </w:rPr>
              <w:t>分；</w:t>
            </w:r>
          </w:p>
          <w:p w14:paraId="25739002">
            <w:pPr>
              <w:jc w:val="left"/>
              <w:rPr>
                <w:color w:val="auto"/>
              </w:rPr>
            </w:pPr>
            <w:r>
              <w:rPr>
                <w:color w:val="auto"/>
              </w:rPr>
              <w:t>（4）未提供的，得0分。</w:t>
            </w:r>
          </w:p>
        </w:tc>
      </w:tr>
      <w:tr w14:paraId="62EF74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657" w:hRule="atLeast"/>
        </w:trPr>
        <w:tc>
          <w:tcPr>
            <w:tcW w:w="922" w:type="dxa"/>
            <w:vMerge w:val="continue"/>
            <w:noWrap w:val="0"/>
            <w:vAlign w:val="top"/>
          </w:tcPr>
          <w:p w14:paraId="7C390CD2"/>
        </w:tc>
        <w:tc>
          <w:tcPr>
            <w:tcW w:w="1978" w:type="dxa"/>
            <w:noWrap w:val="0"/>
            <w:vAlign w:val="center"/>
          </w:tcPr>
          <w:p w14:paraId="082187A1">
            <w:pPr>
              <w:jc w:val="center"/>
              <w:rPr>
                <w:color w:val="auto"/>
              </w:rPr>
            </w:pPr>
            <w:r>
              <w:rPr>
                <w:rFonts w:hint="eastAsia"/>
                <w:color w:val="auto"/>
              </w:rPr>
              <w:t>软件</w:t>
            </w:r>
            <w:r>
              <w:rPr>
                <w:color w:val="auto"/>
              </w:rPr>
              <w:t>开发类需求 (</w:t>
            </w:r>
            <w:r>
              <w:rPr>
                <w:rFonts w:hint="eastAsia"/>
                <w:color w:val="auto"/>
                <w:lang w:val="en-US" w:eastAsia="zh-CN"/>
              </w:rPr>
              <w:t>20</w:t>
            </w:r>
            <w:r>
              <w:rPr>
                <w:color w:val="auto"/>
              </w:rPr>
              <w:t>分)</w:t>
            </w:r>
          </w:p>
        </w:tc>
        <w:tc>
          <w:tcPr>
            <w:tcW w:w="6226" w:type="dxa"/>
            <w:noWrap w:val="0"/>
            <w:vAlign w:val="top"/>
          </w:tcPr>
          <w:p w14:paraId="5B07C450">
            <w:pPr>
              <w:jc w:val="left"/>
              <w:rPr>
                <w:color w:val="auto"/>
              </w:rPr>
            </w:pPr>
            <w:r>
              <w:rPr>
                <w:color w:val="auto"/>
              </w:rPr>
              <w:t>针对需求：</w:t>
            </w:r>
            <w:r>
              <w:rPr>
                <w:rFonts w:hint="eastAsia" w:ascii="宋体" w:hAnsi="宋体" w:cs="宋体"/>
                <w:color w:val="auto"/>
                <w:kern w:val="0"/>
                <w:szCs w:val="21"/>
              </w:rPr>
              <w:t>提出广东省科技报告服务系统商用密码改造详细的总体设计方案和架构，并对需求软件开发服务内容进行进一步设计优化。</w:t>
            </w:r>
            <w:r>
              <w:rPr>
                <w:color w:val="auto"/>
              </w:rPr>
              <w:t>投标人对需求的建设目标、服务内容明确，整体建设方案设计合理、可行</w:t>
            </w:r>
            <w:r>
              <w:rPr>
                <w:rFonts w:hint="eastAsia"/>
                <w:color w:val="auto"/>
                <w:lang w:eastAsia="zh-CN"/>
              </w:rPr>
              <w:t>。</w:t>
            </w:r>
            <w:r>
              <w:rPr>
                <w:color w:val="auto"/>
              </w:rPr>
              <w:t xml:space="preserve"> </w:t>
            </w:r>
          </w:p>
          <w:p w14:paraId="176E8591">
            <w:pPr>
              <w:jc w:val="left"/>
              <w:rPr>
                <w:color w:val="auto"/>
              </w:rPr>
            </w:pPr>
            <w:r>
              <w:rPr>
                <w:color w:val="auto"/>
              </w:rPr>
              <w:t>（1）方案完全满足并优于采购需求，得</w:t>
            </w:r>
            <w:r>
              <w:rPr>
                <w:rFonts w:hint="eastAsia"/>
                <w:color w:val="auto"/>
                <w:lang w:val="en-US" w:eastAsia="zh-CN"/>
              </w:rPr>
              <w:t>2</w:t>
            </w:r>
            <w:r>
              <w:rPr>
                <w:rFonts w:hint="eastAsia"/>
                <w:color w:val="auto"/>
              </w:rPr>
              <w:t>0</w:t>
            </w:r>
            <w:r>
              <w:rPr>
                <w:color w:val="auto"/>
              </w:rPr>
              <w:t>分；</w:t>
            </w:r>
          </w:p>
          <w:p w14:paraId="33C34911">
            <w:pPr>
              <w:jc w:val="left"/>
              <w:rPr>
                <w:color w:val="auto"/>
              </w:rPr>
            </w:pPr>
            <w:r>
              <w:rPr>
                <w:color w:val="auto"/>
              </w:rPr>
              <w:t>（2）方案完全满足采购需求，得</w:t>
            </w:r>
            <w:r>
              <w:rPr>
                <w:rFonts w:hint="eastAsia"/>
                <w:color w:val="auto"/>
                <w:lang w:val="en-US" w:eastAsia="zh-CN"/>
              </w:rPr>
              <w:t>15</w:t>
            </w:r>
            <w:r>
              <w:rPr>
                <w:color w:val="auto"/>
              </w:rPr>
              <w:t>分；</w:t>
            </w:r>
          </w:p>
          <w:p w14:paraId="2709F052">
            <w:pPr>
              <w:jc w:val="left"/>
              <w:rPr>
                <w:color w:val="auto"/>
              </w:rPr>
            </w:pPr>
            <w:r>
              <w:rPr>
                <w:color w:val="auto"/>
              </w:rPr>
              <w:t>（3）方案不能完全满足采购需求，得</w:t>
            </w:r>
            <w:r>
              <w:rPr>
                <w:rFonts w:hint="eastAsia"/>
                <w:color w:val="auto"/>
                <w:lang w:val="en-US" w:eastAsia="zh-CN"/>
              </w:rPr>
              <w:t>5</w:t>
            </w:r>
            <w:r>
              <w:rPr>
                <w:color w:val="auto"/>
              </w:rPr>
              <w:t>分；</w:t>
            </w:r>
          </w:p>
          <w:p w14:paraId="72AF6CB1">
            <w:pPr>
              <w:jc w:val="left"/>
              <w:rPr>
                <w:color w:val="auto"/>
              </w:rPr>
            </w:pPr>
            <w:r>
              <w:rPr>
                <w:color w:val="auto"/>
              </w:rPr>
              <w:t>（4）未提供的，得0分。</w:t>
            </w:r>
          </w:p>
        </w:tc>
      </w:tr>
      <w:tr w14:paraId="3032B5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noWrap w:val="0"/>
            <w:vAlign w:val="top"/>
          </w:tcPr>
          <w:p w14:paraId="1CFECF6D"/>
        </w:tc>
        <w:tc>
          <w:tcPr>
            <w:tcW w:w="1978" w:type="dxa"/>
            <w:noWrap w:val="0"/>
            <w:vAlign w:val="center"/>
          </w:tcPr>
          <w:p w14:paraId="3DAACFBF">
            <w:pPr>
              <w:jc w:val="center"/>
              <w:rPr>
                <w:color w:val="auto"/>
              </w:rPr>
            </w:pPr>
            <w:r>
              <w:rPr>
                <w:rFonts w:hint="eastAsia"/>
                <w:color w:val="auto"/>
              </w:rPr>
              <w:t>运营类</w:t>
            </w:r>
            <w:r>
              <w:rPr>
                <w:color w:val="auto"/>
              </w:rPr>
              <w:t>需求 (</w:t>
            </w:r>
            <w:r>
              <w:rPr>
                <w:rFonts w:hint="eastAsia"/>
                <w:color w:val="auto"/>
                <w:lang w:val="en-US" w:eastAsia="zh-CN"/>
              </w:rPr>
              <w:t>20</w:t>
            </w:r>
            <w:r>
              <w:rPr>
                <w:color w:val="auto"/>
              </w:rPr>
              <w:t>.0分)，</w:t>
            </w:r>
          </w:p>
        </w:tc>
        <w:tc>
          <w:tcPr>
            <w:tcW w:w="6226" w:type="dxa"/>
            <w:noWrap w:val="0"/>
            <w:vAlign w:val="top"/>
          </w:tcPr>
          <w:p w14:paraId="30D9D17E">
            <w:pPr>
              <w:jc w:val="left"/>
              <w:rPr>
                <w:color w:val="auto"/>
              </w:rPr>
            </w:pPr>
            <w:r>
              <w:rPr>
                <w:color w:val="auto"/>
              </w:rPr>
              <w:t>针对需求：提供详细</w:t>
            </w:r>
            <w:r>
              <w:rPr>
                <w:rFonts w:hint="eastAsia"/>
                <w:color w:val="auto"/>
              </w:rPr>
              <w:t>系统适配改造</w:t>
            </w:r>
            <w:r>
              <w:rPr>
                <w:color w:val="auto"/>
              </w:rPr>
              <w:t>运营方案</w:t>
            </w:r>
            <w:r>
              <w:rPr>
                <w:rFonts w:hint="eastAsia"/>
                <w:color w:val="auto"/>
                <w:lang w:eastAsia="zh-CN"/>
              </w:rPr>
              <w:t>，</w:t>
            </w:r>
            <w:r>
              <w:rPr>
                <w:color w:val="auto"/>
              </w:rPr>
              <w:t>方案贴合要求，设计合理完备、详细清晰、可行性高。为使项目按质、按量、按时及时有序实施，投标人应建立完善、稳定的项目团队、内部组织管理方式及管理机构，要求提出项目人员配置方案；</w:t>
            </w:r>
          </w:p>
          <w:p w14:paraId="7CF27CA9">
            <w:pPr>
              <w:jc w:val="left"/>
              <w:rPr>
                <w:color w:val="auto"/>
              </w:rPr>
            </w:pPr>
            <w:r>
              <w:rPr>
                <w:color w:val="auto"/>
              </w:rPr>
              <w:t>（1）方案完全满足并优于采购需求，得</w:t>
            </w:r>
            <w:r>
              <w:rPr>
                <w:rFonts w:hint="eastAsia"/>
                <w:color w:val="auto"/>
                <w:lang w:val="en-US" w:eastAsia="zh-CN"/>
              </w:rPr>
              <w:t>2</w:t>
            </w:r>
            <w:r>
              <w:rPr>
                <w:rFonts w:hint="eastAsia"/>
                <w:color w:val="auto"/>
              </w:rPr>
              <w:t>0</w:t>
            </w:r>
            <w:r>
              <w:rPr>
                <w:color w:val="auto"/>
              </w:rPr>
              <w:t>分；</w:t>
            </w:r>
          </w:p>
          <w:p w14:paraId="034954CF">
            <w:pPr>
              <w:jc w:val="left"/>
              <w:rPr>
                <w:color w:val="auto"/>
              </w:rPr>
            </w:pPr>
            <w:r>
              <w:rPr>
                <w:color w:val="auto"/>
              </w:rPr>
              <w:t>（2）方案完全满足采购需求，得</w:t>
            </w:r>
            <w:r>
              <w:rPr>
                <w:rFonts w:hint="eastAsia"/>
                <w:color w:val="auto"/>
                <w:lang w:val="en-US" w:eastAsia="zh-CN"/>
              </w:rPr>
              <w:t>15</w:t>
            </w:r>
            <w:r>
              <w:rPr>
                <w:color w:val="auto"/>
              </w:rPr>
              <w:t>分；</w:t>
            </w:r>
          </w:p>
          <w:p w14:paraId="69FF3ED7">
            <w:pPr>
              <w:jc w:val="left"/>
              <w:rPr>
                <w:color w:val="auto"/>
              </w:rPr>
            </w:pPr>
            <w:r>
              <w:rPr>
                <w:color w:val="auto"/>
              </w:rPr>
              <w:t>（3）方案不能完全满足采购需求，得</w:t>
            </w:r>
            <w:r>
              <w:rPr>
                <w:rFonts w:hint="eastAsia"/>
                <w:color w:val="auto"/>
                <w:lang w:val="en-US" w:eastAsia="zh-CN"/>
              </w:rPr>
              <w:t>5</w:t>
            </w:r>
            <w:r>
              <w:rPr>
                <w:color w:val="auto"/>
              </w:rPr>
              <w:t>分；</w:t>
            </w:r>
          </w:p>
          <w:p w14:paraId="319653FD">
            <w:pPr>
              <w:jc w:val="left"/>
              <w:rPr>
                <w:color w:val="auto"/>
              </w:rPr>
            </w:pPr>
            <w:r>
              <w:rPr>
                <w:color w:val="auto"/>
              </w:rPr>
              <w:t>（4）未提供的，得0分。</w:t>
            </w:r>
          </w:p>
        </w:tc>
      </w:tr>
      <w:tr w14:paraId="2D8B750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restart"/>
            <w:noWrap w:val="0"/>
            <w:vAlign w:val="top"/>
          </w:tcPr>
          <w:p w14:paraId="61B6AC7F">
            <w:pPr>
              <w:jc w:val="center"/>
            </w:pPr>
            <w:r>
              <w:t>商务部分</w:t>
            </w:r>
          </w:p>
        </w:tc>
        <w:tc>
          <w:tcPr>
            <w:tcW w:w="1978" w:type="dxa"/>
            <w:noWrap w:val="0"/>
            <w:vAlign w:val="center"/>
          </w:tcPr>
          <w:p w14:paraId="39331CC8">
            <w:pPr>
              <w:jc w:val="center"/>
              <w:rPr>
                <w:color w:val="auto"/>
              </w:rPr>
            </w:pPr>
            <w:r>
              <w:rPr>
                <w:color w:val="auto"/>
              </w:rPr>
              <w:t>投标人资质情况 (</w:t>
            </w:r>
            <w:r>
              <w:rPr>
                <w:rFonts w:hint="eastAsia"/>
                <w:color w:val="auto"/>
                <w:lang w:val="en-US" w:eastAsia="zh-CN"/>
              </w:rPr>
              <w:t>2</w:t>
            </w:r>
            <w:r>
              <w:rPr>
                <w:color w:val="auto"/>
              </w:rPr>
              <w:t>.0分)</w:t>
            </w:r>
          </w:p>
        </w:tc>
        <w:tc>
          <w:tcPr>
            <w:tcW w:w="6226" w:type="dxa"/>
            <w:noWrap w:val="0"/>
            <w:vAlign w:val="top"/>
          </w:tcPr>
          <w:p w14:paraId="48B99C43">
            <w:pPr>
              <w:jc w:val="left"/>
              <w:rPr>
                <w:rFonts w:hint="eastAsia" w:eastAsia="楷体_GB2312"/>
                <w:color w:val="auto"/>
                <w:lang w:eastAsia="zh-CN"/>
              </w:rPr>
            </w:pPr>
            <w:r>
              <w:rPr>
                <w:color w:val="auto"/>
              </w:rPr>
              <w:t>考察投标人有效期内资质情况</w:t>
            </w:r>
            <w:r>
              <w:rPr>
                <w:rFonts w:hint="eastAsia"/>
                <w:color w:val="auto"/>
                <w:lang w:eastAsia="zh-CN"/>
              </w:rPr>
              <w:t>：</w:t>
            </w:r>
          </w:p>
          <w:p w14:paraId="33B9C367">
            <w:pPr>
              <w:jc w:val="left"/>
              <w:rPr>
                <w:color w:val="auto"/>
              </w:rPr>
            </w:pPr>
            <w:r>
              <w:rPr>
                <w:rFonts w:hint="eastAsia"/>
                <w:color w:val="auto"/>
                <w:lang w:val="en-US" w:eastAsia="zh-CN"/>
              </w:rPr>
              <w:t>拥有</w:t>
            </w:r>
            <w:r>
              <w:rPr>
                <w:color w:val="auto"/>
              </w:rPr>
              <w:t>ISO9001质量管理体系认证证书；提供认证证书扫描件并须同时提供在全国认证认可信息公共服务平台（http://cx.cnca.cn/）对体系证书的信息查询截图作为评审依据，已暂停、失效或撤销的不得分。投标人因成立时间不足3个月的，可对应得分。</w:t>
            </w:r>
          </w:p>
          <w:p w14:paraId="1660E3AD">
            <w:pPr>
              <w:jc w:val="left"/>
              <w:rPr>
                <w:color w:val="auto"/>
              </w:rPr>
            </w:pPr>
          </w:p>
        </w:tc>
      </w:tr>
      <w:tr w14:paraId="411712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noWrap w:val="0"/>
            <w:vAlign w:val="top"/>
          </w:tcPr>
          <w:p w14:paraId="73093C10"/>
        </w:tc>
        <w:tc>
          <w:tcPr>
            <w:tcW w:w="1978" w:type="dxa"/>
            <w:noWrap w:val="0"/>
            <w:vAlign w:val="center"/>
          </w:tcPr>
          <w:p w14:paraId="65E4F43F">
            <w:pPr>
              <w:jc w:val="center"/>
              <w:rPr>
                <w:color w:val="auto"/>
              </w:rPr>
            </w:pPr>
            <w:r>
              <w:rPr>
                <w:color w:val="auto"/>
              </w:rPr>
              <w:t>投标人技术能力  (</w:t>
            </w:r>
            <w:r>
              <w:rPr>
                <w:rFonts w:hint="eastAsia"/>
                <w:color w:val="auto"/>
                <w:lang w:val="en-US" w:eastAsia="zh-CN"/>
              </w:rPr>
              <w:t>7</w:t>
            </w:r>
            <w:r>
              <w:rPr>
                <w:color w:val="auto"/>
              </w:rPr>
              <w:t>.0分)</w:t>
            </w:r>
          </w:p>
        </w:tc>
        <w:tc>
          <w:tcPr>
            <w:tcW w:w="6226" w:type="dxa"/>
            <w:noWrap w:val="0"/>
            <w:vAlign w:val="top"/>
          </w:tcPr>
          <w:p w14:paraId="077F4206">
            <w:pPr>
              <w:jc w:val="left"/>
              <w:rPr>
                <w:color w:val="auto"/>
              </w:rPr>
            </w:pPr>
            <w:r>
              <w:rPr>
                <w:color w:val="auto"/>
              </w:rPr>
              <w:t>投标人能提供政务信息化相关的计算机软件著作权登记证书，每提供1</w:t>
            </w:r>
            <w:r>
              <w:rPr>
                <w:rFonts w:hint="eastAsia"/>
                <w:color w:val="auto"/>
                <w:lang w:val="en-US" w:eastAsia="zh-CN"/>
              </w:rPr>
              <w:t>项</w:t>
            </w:r>
            <w:r>
              <w:rPr>
                <w:color w:val="auto"/>
              </w:rPr>
              <w:t>得</w:t>
            </w:r>
            <w:r>
              <w:rPr>
                <w:rFonts w:hint="eastAsia"/>
                <w:color w:val="auto"/>
                <w:lang w:val="en-US" w:eastAsia="zh-CN"/>
              </w:rPr>
              <w:t>1</w:t>
            </w:r>
            <w:r>
              <w:rPr>
                <w:color w:val="auto"/>
              </w:rPr>
              <w:t>分，满分</w:t>
            </w:r>
            <w:r>
              <w:rPr>
                <w:rFonts w:hint="eastAsia"/>
                <w:color w:val="auto"/>
                <w:lang w:val="en-US" w:eastAsia="zh-CN"/>
              </w:rPr>
              <w:t>7</w:t>
            </w:r>
            <w:r>
              <w:rPr>
                <w:color w:val="auto"/>
              </w:rPr>
              <w:t>分。</w:t>
            </w:r>
          </w:p>
          <w:p w14:paraId="61A15043">
            <w:pPr>
              <w:jc w:val="left"/>
              <w:rPr>
                <w:color w:val="auto"/>
              </w:rPr>
            </w:pPr>
            <w:r>
              <w:rPr>
                <w:color w:val="auto"/>
              </w:rPr>
              <w:t>说明：应提供以上软件著作权证书复印件并加盖投标人公章。</w:t>
            </w:r>
          </w:p>
        </w:tc>
      </w:tr>
      <w:tr w14:paraId="2CA4C4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noWrap w:val="0"/>
            <w:vAlign w:val="top"/>
          </w:tcPr>
          <w:p w14:paraId="3ED5C7A9"/>
        </w:tc>
        <w:tc>
          <w:tcPr>
            <w:tcW w:w="1978" w:type="dxa"/>
            <w:noWrap w:val="0"/>
            <w:vAlign w:val="center"/>
          </w:tcPr>
          <w:p w14:paraId="5325FB9C">
            <w:pPr>
              <w:jc w:val="center"/>
              <w:rPr>
                <w:color w:val="auto"/>
              </w:rPr>
            </w:pPr>
            <w:r>
              <w:rPr>
                <w:color w:val="auto"/>
              </w:rPr>
              <w:t>拟投入本项目团队人员 (</w:t>
            </w:r>
            <w:r>
              <w:rPr>
                <w:rFonts w:hint="eastAsia"/>
                <w:color w:val="auto"/>
                <w:lang w:val="en-US" w:eastAsia="zh-CN"/>
              </w:rPr>
              <w:t>6</w:t>
            </w:r>
            <w:r>
              <w:rPr>
                <w:color w:val="auto"/>
              </w:rPr>
              <w:t>.0分)</w:t>
            </w:r>
          </w:p>
        </w:tc>
        <w:tc>
          <w:tcPr>
            <w:tcW w:w="6226" w:type="dxa"/>
            <w:noWrap w:val="0"/>
            <w:vAlign w:val="top"/>
          </w:tcPr>
          <w:p w14:paraId="2191C0FE">
            <w:pPr>
              <w:jc w:val="left"/>
              <w:rPr>
                <w:color w:val="auto"/>
              </w:rPr>
            </w:pPr>
            <w:r>
              <w:rPr>
                <w:color w:val="auto"/>
              </w:rPr>
              <w:t>投标人拟安排投入本项目的主要技术人员团队（含总负责人/项目经理）应具备以下资质，具体评分如下：（</w:t>
            </w:r>
            <w:r>
              <w:rPr>
                <w:rFonts w:hint="eastAsia"/>
                <w:color w:val="auto"/>
                <w:lang w:val="en-US" w:eastAsia="zh-CN"/>
              </w:rPr>
              <w:t>1</w:t>
            </w:r>
            <w:r>
              <w:rPr>
                <w:color w:val="auto"/>
              </w:rPr>
              <w:t>）</w:t>
            </w:r>
            <w:r>
              <w:rPr>
                <w:rFonts w:hint="eastAsia"/>
                <w:color w:val="auto"/>
                <w:lang w:val="en-US" w:eastAsia="zh-CN"/>
              </w:rPr>
              <w:t>项目负责人人/项目经理人员</w:t>
            </w:r>
            <w:r>
              <w:rPr>
                <w:color w:val="auto"/>
              </w:rPr>
              <w:t>资质：信息系统项目管理师、系统集成项目管理工程师、数据库系统工程师，每提供一个得</w:t>
            </w:r>
            <w:r>
              <w:rPr>
                <w:rFonts w:hint="eastAsia"/>
                <w:color w:val="auto"/>
                <w:lang w:val="en-US" w:eastAsia="zh-CN"/>
              </w:rPr>
              <w:t>1</w:t>
            </w:r>
            <w:r>
              <w:rPr>
                <w:color w:val="auto"/>
              </w:rPr>
              <w:t>分，满分</w:t>
            </w:r>
            <w:r>
              <w:rPr>
                <w:rFonts w:hint="eastAsia"/>
                <w:color w:val="auto"/>
                <w:lang w:val="en-US" w:eastAsia="zh-CN"/>
              </w:rPr>
              <w:t>1</w:t>
            </w:r>
            <w:r>
              <w:rPr>
                <w:color w:val="auto"/>
              </w:rPr>
              <w:t>分；</w:t>
            </w:r>
          </w:p>
          <w:p w14:paraId="7AE1755F">
            <w:pPr>
              <w:jc w:val="left"/>
              <w:rPr>
                <w:rFonts w:hint="eastAsia"/>
                <w:color w:val="auto"/>
                <w:lang w:eastAsia="zh-CN"/>
              </w:rPr>
            </w:pPr>
            <w:r>
              <w:rPr>
                <w:rFonts w:hint="eastAsia"/>
                <w:color w:val="auto"/>
                <w:lang w:eastAsia="zh-CN"/>
              </w:rPr>
              <w:t>（</w:t>
            </w:r>
            <w:r>
              <w:rPr>
                <w:rFonts w:hint="eastAsia"/>
                <w:color w:val="auto"/>
                <w:lang w:val="en-US" w:eastAsia="zh-CN"/>
              </w:rPr>
              <w:t>2</w:t>
            </w:r>
            <w:r>
              <w:rPr>
                <w:rFonts w:hint="eastAsia"/>
                <w:color w:val="auto"/>
                <w:lang w:eastAsia="zh-CN"/>
              </w:rPr>
              <w:t>）</w:t>
            </w:r>
            <w:r>
              <w:rPr>
                <w:rFonts w:hint="eastAsia"/>
                <w:color w:val="auto"/>
                <w:lang w:val="en-US" w:eastAsia="zh-CN"/>
              </w:rPr>
              <w:t>项目团队人员</w:t>
            </w:r>
            <w:r>
              <w:rPr>
                <w:color w:val="auto"/>
              </w:rPr>
              <w:t>资质：</w:t>
            </w:r>
            <w:r>
              <w:rPr>
                <w:rFonts w:hint="eastAsia"/>
                <w:color w:val="auto"/>
                <w:lang w:val="en-US" w:eastAsia="zh-CN"/>
              </w:rPr>
              <w:t>具备计算机或软件开发本科以上学历的</w:t>
            </w:r>
            <w:r>
              <w:rPr>
                <w:color w:val="auto"/>
              </w:rPr>
              <w:t>，提供一个得</w:t>
            </w:r>
            <w:r>
              <w:rPr>
                <w:rFonts w:hint="eastAsia"/>
                <w:color w:val="auto"/>
                <w:lang w:val="en-US" w:eastAsia="zh-CN"/>
              </w:rPr>
              <w:t>1</w:t>
            </w:r>
            <w:r>
              <w:rPr>
                <w:color w:val="auto"/>
              </w:rPr>
              <w:t>分，满分</w:t>
            </w:r>
            <w:r>
              <w:rPr>
                <w:rFonts w:hint="eastAsia"/>
                <w:color w:val="auto"/>
                <w:lang w:val="en-US" w:eastAsia="zh-CN"/>
              </w:rPr>
              <w:t>5</w:t>
            </w:r>
            <w:r>
              <w:rPr>
                <w:color w:val="auto"/>
              </w:rPr>
              <w:t>分</w:t>
            </w:r>
            <w:r>
              <w:rPr>
                <w:rFonts w:hint="eastAsia"/>
                <w:color w:val="auto"/>
                <w:lang w:eastAsia="zh-CN"/>
              </w:rPr>
              <w:t>。</w:t>
            </w:r>
          </w:p>
          <w:p w14:paraId="742EDDF8">
            <w:pPr>
              <w:jc w:val="left"/>
              <w:rPr>
                <w:color w:val="auto"/>
              </w:rPr>
            </w:pPr>
            <w:r>
              <w:rPr>
                <w:color w:val="auto"/>
              </w:rPr>
              <w:t>说明：按照具备以上资质之一的人员数量进行计算，一人多证者仅计算一次，不得重复计分，以最高得分计算。应提供以上人员相关证明资料复印件并加盖公章，并提供以上人员在本公司任职的有效外部证明材料（如加盖政府有关部门印章的202</w:t>
            </w:r>
            <w:r>
              <w:rPr>
                <w:rFonts w:hint="eastAsia"/>
                <w:color w:val="auto"/>
                <w:lang w:val="en-US" w:eastAsia="zh-CN"/>
              </w:rPr>
              <w:t>4</w:t>
            </w:r>
            <w:r>
              <w:rPr>
                <w:color w:val="auto"/>
              </w:rPr>
              <w:t>年</w:t>
            </w:r>
            <w:r>
              <w:rPr>
                <w:rFonts w:hint="eastAsia"/>
                <w:color w:val="auto"/>
                <w:lang w:val="en-US" w:eastAsia="zh-CN"/>
              </w:rPr>
              <w:t>1</w:t>
            </w:r>
            <w:r>
              <w:rPr>
                <w:color w:val="auto"/>
              </w:rPr>
              <w:t>月以来任意一个月的《投保单》或《社会保险参保人员证明》，或单位代缴个人所得税税单等，事业法人的相关人员应提供该单位的相关证明）复印件。为方便评委会评审，请投标人将同一人员的证明材料连续叠放，即叠放完A人员的资质证明及社保证明（或税单或投标单）后，再叠放B人员的资质。</w:t>
            </w:r>
          </w:p>
        </w:tc>
      </w:tr>
      <w:tr w14:paraId="158F09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noWrap w:val="0"/>
            <w:vAlign w:val="top"/>
          </w:tcPr>
          <w:p w14:paraId="782832A2"/>
        </w:tc>
        <w:tc>
          <w:tcPr>
            <w:tcW w:w="1978" w:type="dxa"/>
            <w:noWrap w:val="0"/>
            <w:vAlign w:val="center"/>
          </w:tcPr>
          <w:p w14:paraId="1A4D533C">
            <w:pPr>
              <w:jc w:val="center"/>
              <w:rPr>
                <w:color w:val="auto"/>
                <w:highlight w:val="none"/>
              </w:rPr>
            </w:pPr>
            <w:r>
              <w:rPr>
                <w:color w:val="auto"/>
                <w:highlight w:val="none"/>
              </w:rPr>
              <w:t>投标人同类项目经验 (1</w:t>
            </w:r>
            <w:r>
              <w:rPr>
                <w:rFonts w:hint="eastAsia"/>
                <w:color w:val="auto"/>
                <w:highlight w:val="none"/>
              </w:rPr>
              <w:t>5</w:t>
            </w:r>
            <w:r>
              <w:rPr>
                <w:color w:val="auto"/>
                <w:highlight w:val="none"/>
              </w:rPr>
              <w:t>.0分)</w:t>
            </w:r>
          </w:p>
        </w:tc>
        <w:tc>
          <w:tcPr>
            <w:tcW w:w="6226" w:type="dxa"/>
            <w:noWrap w:val="0"/>
            <w:vAlign w:val="top"/>
          </w:tcPr>
          <w:p w14:paraId="46AC1A41">
            <w:pPr>
              <w:jc w:val="left"/>
              <w:rPr>
                <w:color w:val="auto"/>
                <w:highlight w:val="none"/>
              </w:rPr>
            </w:pPr>
            <w:r>
              <w:rPr>
                <w:color w:val="auto"/>
                <w:highlight w:val="none"/>
              </w:rPr>
              <w:t>202</w:t>
            </w:r>
            <w:r>
              <w:rPr>
                <w:rFonts w:hint="eastAsia"/>
                <w:color w:val="auto"/>
                <w:highlight w:val="none"/>
              </w:rPr>
              <w:t>1</w:t>
            </w:r>
            <w:r>
              <w:rPr>
                <w:color w:val="auto"/>
                <w:highlight w:val="none"/>
              </w:rPr>
              <w:t>年以来，投标人具有相关项目经验</w:t>
            </w:r>
            <w:r>
              <w:rPr>
                <w:rFonts w:hint="eastAsia"/>
                <w:color w:val="auto"/>
                <w:highlight w:val="none"/>
              </w:rPr>
              <w:t>。</w:t>
            </w:r>
          </w:p>
          <w:p w14:paraId="444A07E7">
            <w:pPr>
              <w:jc w:val="left"/>
              <w:rPr>
                <w:color w:val="auto"/>
                <w:highlight w:val="none"/>
              </w:rPr>
            </w:pPr>
            <w:r>
              <w:rPr>
                <w:color w:val="auto"/>
                <w:highlight w:val="none"/>
              </w:rPr>
              <w:t>提供软件开发类项目案例</w:t>
            </w:r>
            <w:r>
              <w:rPr>
                <w:rFonts w:hint="eastAsia"/>
                <w:color w:val="auto"/>
                <w:highlight w:val="none"/>
              </w:rPr>
              <w:t>：</w:t>
            </w:r>
          </w:p>
          <w:p w14:paraId="38285559">
            <w:pPr>
              <w:numPr>
                <w:ilvl w:val="0"/>
                <w:numId w:val="2"/>
              </w:numPr>
              <w:jc w:val="left"/>
              <w:rPr>
                <w:color w:val="auto"/>
                <w:highlight w:val="none"/>
              </w:rPr>
            </w:pPr>
            <w:r>
              <w:rPr>
                <w:rFonts w:hint="eastAsia"/>
                <w:color w:val="auto"/>
                <w:highlight w:val="none"/>
              </w:rPr>
              <w:t>具</w:t>
            </w:r>
            <w:r>
              <w:rPr>
                <w:rFonts w:hint="eastAsia"/>
                <w:color w:val="auto"/>
                <w:highlight w:val="none"/>
                <w:lang w:val="en-US" w:eastAsia="zh-CN"/>
              </w:rPr>
              <w:t>备</w:t>
            </w:r>
            <w:r>
              <w:rPr>
                <w:color w:val="auto"/>
                <w:highlight w:val="none"/>
              </w:rPr>
              <w:t>信息化软件开发</w:t>
            </w:r>
            <w:r>
              <w:rPr>
                <w:rFonts w:hint="eastAsia"/>
                <w:color w:val="auto"/>
                <w:highlight w:val="none"/>
                <w:lang w:val="en-US" w:eastAsia="zh-CN"/>
              </w:rPr>
              <w:t>类</w:t>
            </w:r>
            <w:r>
              <w:rPr>
                <w:color w:val="auto"/>
                <w:highlight w:val="none"/>
              </w:rPr>
              <w:t>相关项目案例</w:t>
            </w:r>
            <w:r>
              <w:rPr>
                <w:rFonts w:hint="eastAsia"/>
                <w:color w:val="auto"/>
                <w:highlight w:val="none"/>
              </w:rPr>
              <w:t>（合同名称或服务内容需包含关键字“</w:t>
            </w:r>
            <w:r>
              <w:rPr>
                <w:color w:val="auto"/>
                <w:highlight w:val="none"/>
              </w:rPr>
              <w:t>软件开发</w:t>
            </w:r>
            <w:r>
              <w:rPr>
                <w:rFonts w:hint="eastAsia"/>
                <w:color w:val="auto"/>
                <w:highlight w:val="none"/>
              </w:rPr>
              <w:t>”</w:t>
            </w:r>
            <w:r>
              <w:rPr>
                <w:rFonts w:hint="eastAsia"/>
                <w:color w:val="auto"/>
                <w:highlight w:val="none"/>
                <w:lang w:val="en-US" w:eastAsia="zh-CN"/>
              </w:rPr>
              <w:t>或者“技术开发”</w:t>
            </w:r>
            <w:r>
              <w:rPr>
                <w:rFonts w:hint="eastAsia"/>
                <w:color w:val="auto"/>
                <w:highlight w:val="none"/>
              </w:rPr>
              <w:t>）</w:t>
            </w:r>
            <w:r>
              <w:rPr>
                <w:color w:val="auto"/>
                <w:highlight w:val="none"/>
              </w:rPr>
              <w:t>，每提供一个得</w:t>
            </w:r>
            <w:r>
              <w:rPr>
                <w:rFonts w:hint="eastAsia"/>
                <w:color w:val="auto"/>
                <w:highlight w:val="none"/>
                <w:lang w:val="en-US" w:eastAsia="zh-CN"/>
              </w:rPr>
              <w:t>2</w:t>
            </w:r>
            <w:r>
              <w:rPr>
                <w:color w:val="auto"/>
                <w:highlight w:val="none"/>
              </w:rPr>
              <w:t>分，最高得</w:t>
            </w:r>
            <w:r>
              <w:rPr>
                <w:rFonts w:hint="eastAsia"/>
                <w:color w:val="auto"/>
                <w:highlight w:val="none"/>
                <w:lang w:val="en-US" w:eastAsia="zh-CN"/>
              </w:rPr>
              <w:t>12</w:t>
            </w:r>
            <w:r>
              <w:rPr>
                <w:color w:val="auto"/>
                <w:highlight w:val="none"/>
              </w:rPr>
              <w:t>分。</w:t>
            </w:r>
          </w:p>
          <w:p w14:paraId="272C02AC">
            <w:pPr>
              <w:numPr>
                <w:ilvl w:val="0"/>
                <w:numId w:val="2"/>
              </w:numPr>
              <w:jc w:val="left"/>
              <w:rPr>
                <w:color w:val="auto"/>
                <w:highlight w:val="none"/>
              </w:rPr>
            </w:pPr>
            <w:r>
              <w:rPr>
                <w:rFonts w:hint="eastAsia"/>
                <w:color w:val="auto"/>
                <w:highlight w:val="none"/>
                <w:lang w:eastAsia="zh-CN"/>
              </w:rPr>
              <w:t>具备</w:t>
            </w:r>
            <w:r>
              <w:rPr>
                <w:rFonts w:hint="eastAsia"/>
                <w:color w:val="auto"/>
                <w:highlight w:val="none"/>
                <w:lang w:val="en-US" w:eastAsia="zh-CN"/>
              </w:rPr>
              <w:t>信息化服务类</w:t>
            </w:r>
            <w:r>
              <w:rPr>
                <w:rFonts w:hint="eastAsia"/>
                <w:color w:val="auto"/>
                <w:highlight w:val="none"/>
                <w:lang w:eastAsia="zh-CN"/>
              </w:rPr>
              <w:t>相关案例（合同名称或服务内容需包含关键字“</w:t>
            </w:r>
            <w:r>
              <w:rPr>
                <w:rFonts w:hint="eastAsia"/>
                <w:color w:val="auto"/>
                <w:highlight w:val="none"/>
                <w:lang w:val="en-US" w:eastAsia="zh-CN"/>
              </w:rPr>
              <w:t>运维</w:t>
            </w:r>
            <w:r>
              <w:rPr>
                <w:rFonts w:hint="eastAsia"/>
                <w:color w:val="auto"/>
                <w:highlight w:val="none"/>
                <w:lang w:eastAsia="zh-CN"/>
              </w:rPr>
              <w:t>服务”</w:t>
            </w:r>
            <w:r>
              <w:rPr>
                <w:rFonts w:hint="eastAsia"/>
                <w:color w:val="auto"/>
                <w:highlight w:val="none"/>
                <w:lang w:val="en-US" w:eastAsia="zh-CN"/>
              </w:rPr>
              <w:t>或者“技术服务”</w:t>
            </w:r>
            <w:r>
              <w:rPr>
                <w:rFonts w:hint="eastAsia"/>
                <w:color w:val="auto"/>
                <w:highlight w:val="none"/>
                <w:lang w:eastAsia="zh-CN"/>
              </w:rPr>
              <w:t>），每提供一个得</w:t>
            </w:r>
            <w:r>
              <w:rPr>
                <w:rFonts w:hint="eastAsia"/>
                <w:color w:val="auto"/>
                <w:highlight w:val="none"/>
                <w:lang w:val="en-US" w:eastAsia="zh-CN"/>
              </w:rPr>
              <w:t>1</w:t>
            </w:r>
            <w:r>
              <w:rPr>
                <w:rFonts w:hint="eastAsia"/>
                <w:color w:val="auto"/>
                <w:highlight w:val="none"/>
                <w:lang w:eastAsia="zh-CN"/>
              </w:rPr>
              <w:t>分，满分</w:t>
            </w:r>
            <w:r>
              <w:rPr>
                <w:rFonts w:hint="eastAsia"/>
                <w:color w:val="auto"/>
                <w:highlight w:val="none"/>
                <w:lang w:val="en-US" w:eastAsia="zh-CN"/>
              </w:rPr>
              <w:t>3</w:t>
            </w:r>
            <w:r>
              <w:rPr>
                <w:rFonts w:hint="eastAsia"/>
                <w:color w:val="auto"/>
                <w:highlight w:val="none"/>
                <w:lang w:eastAsia="zh-CN"/>
              </w:rPr>
              <w:t>分</w:t>
            </w:r>
            <w:r>
              <w:rPr>
                <w:rFonts w:hint="eastAsia"/>
                <w:color w:val="auto"/>
                <w:highlight w:val="none"/>
                <w:lang w:val="en-US" w:eastAsia="zh-CN"/>
              </w:rPr>
              <w:t>。</w:t>
            </w:r>
          </w:p>
          <w:p w14:paraId="74E5D678">
            <w:pPr>
              <w:jc w:val="left"/>
              <w:rPr>
                <w:color w:val="auto"/>
                <w:highlight w:val="none"/>
              </w:rPr>
            </w:pPr>
            <w:r>
              <w:rPr>
                <w:color w:val="auto"/>
                <w:highlight w:val="none"/>
              </w:rPr>
              <w:t>说明：须提供合同关键页（关键页包括但不限于合同封面、合同服务内容、合同金额、盖章页等）作为证明材料；如合同不涉及相关关键字，须提供甲方出具的证明材料。以上业绩如涉及多类案例，不重复记分，以最高得分计算；多份文件时间不一致的，以任一文件时间满足即视为满足时间要求。</w:t>
            </w:r>
          </w:p>
        </w:tc>
      </w:tr>
      <w:tr w14:paraId="5B2E054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noWrap w:val="0"/>
            <w:vAlign w:val="center"/>
          </w:tcPr>
          <w:p w14:paraId="47D83743">
            <w:pPr>
              <w:jc w:val="center"/>
            </w:pPr>
            <w:r>
              <w:t>投标报价</w:t>
            </w:r>
          </w:p>
        </w:tc>
        <w:tc>
          <w:tcPr>
            <w:tcW w:w="1978" w:type="dxa"/>
            <w:noWrap w:val="0"/>
            <w:vAlign w:val="center"/>
          </w:tcPr>
          <w:p w14:paraId="5DD858F3">
            <w:pPr>
              <w:jc w:val="center"/>
              <w:rPr>
                <w:color w:val="auto"/>
              </w:rPr>
            </w:pPr>
            <w:r>
              <w:rPr>
                <w:color w:val="auto"/>
              </w:rPr>
              <w:t>投标报价得分 (10.0分)</w:t>
            </w:r>
          </w:p>
        </w:tc>
        <w:tc>
          <w:tcPr>
            <w:tcW w:w="6226" w:type="dxa"/>
            <w:noWrap w:val="0"/>
            <w:vAlign w:val="top"/>
          </w:tcPr>
          <w:p w14:paraId="28B1A7F1">
            <w:pPr>
              <w:jc w:val="left"/>
              <w:rPr>
                <w:color w:val="auto"/>
              </w:rPr>
            </w:pPr>
            <w:r>
              <w:rPr>
                <w:color w:val="auto"/>
              </w:rPr>
              <w:t>投标报价得分＝（评标基准价/投标报价）×价格分值【注：满足招标文件要求且投标价格最低的投标报价为评标基准价。】最低报价不是中标的唯一依据。因落实政府采购政策进行价格调整的，以调整后的价格计算评标基准价和投标报价。</w:t>
            </w:r>
          </w:p>
        </w:tc>
      </w:tr>
    </w:tbl>
    <w:p w14:paraId="7106396D">
      <w:bookmarkStart w:id="15" w:name="_GoBack"/>
      <w:bookmarkEnd w:id="15"/>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简体">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DE32D2"/>
    <w:multiLevelType w:val="singleLevel"/>
    <w:tmpl w:val="FFDE32D2"/>
    <w:lvl w:ilvl="0" w:tentative="0">
      <w:start w:val="1"/>
      <w:numFmt w:val="decimal"/>
      <w:suff w:val="nothing"/>
      <w:lvlText w:val="（%1）"/>
      <w:lvlJc w:val="left"/>
    </w:lvl>
  </w:abstractNum>
  <w:abstractNum w:abstractNumId="1">
    <w:nsid w:val="04544B4D"/>
    <w:multiLevelType w:val="multilevel"/>
    <w:tmpl w:val="04544B4D"/>
    <w:lvl w:ilvl="0" w:tentative="0">
      <w:start w:val="1"/>
      <w:numFmt w:val="decimal"/>
      <w:pStyle w:val="7"/>
      <w:lvlText w:val="%1."/>
      <w:lvlJc w:val="left"/>
      <w:pPr>
        <w:ind w:left="425" w:hanging="425"/>
      </w:pPr>
      <w:rPr>
        <w:rFonts w:hint="default" w:ascii="Times New Roman" w:hAnsi="Times New Roman" w:cs="Times New Roman"/>
      </w:rPr>
    </w:lvl>
    <w:lvl w:ilvl="1" w:tentative="0">
      <w:start w:val="1"/>
      <w:numFmt w:val="decimal"/>
      <w:pStyle w:val="8"/>
      <w:lvlText w:val="%1.%2."/>
      <w:lvlJc w:val="left"/>
      <w:pPr>
        <w:ind w:left="567" w:hanging="567"/>
      </w:pPr>
      <w:rPr>
        <w:rFonts w:hint="default" w:ascii="Times New Roman" w:hAnsi="Times New Roman" w:cs="Times New Roman"/>
      </w:rPr>
    </w:lvl>
    <w:lvl w:ilvl="2" w:tentative="0">
      <w:start w:val="1"/>
      <w:numFmt w:val="decimal"/>
      <w:pStyle w:val="9"/>
      <w:lvlText w:val="%1.%2.%3."/>
      <w:lvlJc w:val="left"/>
      <w:pPr>
        <w:ind w:left="709" w:hanging="709"/>
      </w:pPr>
      <w:rPr>
        <w:rFonts w:hint="default" w:ascii="Times New Roman" w:hAnsi="Times New Roman" w:cs="Times New Roman"/>
        <w:b w:val="0"/>
        <w:bCs/>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wNTEyNDBiMjgxM2NlNTQxNjhjMmJiYTYyZGIyODcifQ=="/>
  </w:docVars>
  <w:rsids>
    <w:rsidRoot w:val="00000000"/>
    <w:rsid w:val="017C7ED5"/>
    <w:rsid w:val="0C4E5FB8"/>
    <w:rsid w:val="0CC506C3"/>
    <w:rsid w:val="16126872"/>
    <w:rsid w:val="1FBB6B5F"/>
    <w:rsid w:val="24D446E0"/>
    <w:rsid w:val="27393621"/>
    <w:rsid w:val="2CE74C51"/>
    <w:rsid w:val="40466DA3"/>
    <w:rsid w:val="42254AB8"/>
    <w:rsid w:val="44F27B47"/>
    <w:rsid w:val="518A236A"/>
    <w:rsid w:val="56F6212C"/>
    <w:rsid w:val="5C6D77C6"/>
    <w:rsid w:val="68FD1BBF"/>
    <w:rsid w:val="6E530CFA"/>
    <w:rsid w:val="72CA61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left"/>
    </w:pPr>
    <w:rPr>
      <w:rFonts w:ascii="Times New Roman" w:hAnsi="Times New Roman" w:eastAsia="楷体_GB2312" w:cs="Times New Roman"/>
      <w:kern w:val="2"/>
      <w:sz w:val="21"/>
      <w:szCs w:val="22"/>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kern w:val="0"/>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kern w:val="0"/>
      <w:sz w:val="18"/>
      <w:szCs w:val="18"/>
    </w:rPr>
  </w:style>
  <w:style w:type="character" w:styleId="6">
    <w:name w:val="page number"/>
    <w:uiPriority w:val="0"/>
  </w:style>
  <w:style w:type="paragraph" w:customStyle="1" w:styleId="7">
    <w:name w:val="一级标题"/>
    <w:basedOn w:val="1"/>
    <w:qFormat/>
    <w:uiPriority w:val="0"/>
    <w:pPr>
      <w:numPr>
        <w:ilvl w:val="0"/>
        <w:numId w:val="1"/>
      </w:numPr>
      <w:jc w:val="left"/>
      <w:outlineLvl w:val="0"/>
    </w:pPr>
    <w:rPr>
      <w:rFonts w:ascii="黑体" w:hAnsi="宋体" w:eastAsia="黑体"/>
      <w:sz w:val="30"/>
      <w:szCs w:val="30"/>
    </w:rPr>
  </w:style>
  <w:style w:type="paragraph" w:customStyle="1" w:styleId="8">
    <w:name w:val="二级标题"/>
    <w:basedOn w:val="1"/>
    <w:qFormat/>
    <w:uiPriority w:val="0"/>
    <w:pPr>
      <w:numPr>
        <w:ilvl w:val="1"/>
        <w:numId w:val="1"/>
      </w:numPr>
      <w:jc w:val="left"/>
      <w:outlineLvl w:val="1"/>
    </w:pPr>
    <w:rPr>
      <w:rFonts w:ascii="楷体_GB2312" w:hAnsi="华文楷体" w:eastAsia="楷体_GB2312"/>
      <w:bCs/>
      <w:sz w:val="28"/>
      <w:szCs w:val="28"/>
    </w:rPr>
  </w:style>
  <w:style w:type="paragraph" w:customStyle="1" w:styleId="9">
    <w:name w:val="三级标题"/>
    <w:basedOn w:val="1"/>
    <w:qFormat/>
    <w:uiPriority w:val="0"/>
    <w:pPr>
      <w:numPr>
        <w:ilvl w:val="2"/>
        <w:numId w:val="1"/>
      </w:numPr>
      <w:jc w:val="left"/>
      <w:outlineLvl w:val="2"/>
    </w:pPr>
    <w:rPr>
      <w:rFonts w:ascii="仿宋_GB2312" w:hAnsi="仿宋" w:eastAsia="仿宋_GB2312"/>
      <w:b/>
      <w:sz w:val="28"/>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Pages>
  <Words>0</Words>
  <Characters>0</Characters>
  <Lines>0</Lines>
  <Paragraphs>0</Paragraphs>
  <TotalTime>0</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2024-03-14T09:04:00Z</dcterms:created>
  <dc:creator>Administrator</dc:creator>
  <cp:lastModifiedBy>黄宝强</cp:lastModifiedBy>
  <dcterms:modified xsi:type="dcterms:W3CDTF">2024-10-25T08:08:16Z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C42FD10F82C64A8FB1B5285086539BC8_12</vt:lpwstr>
  </property>
</Properties>
</file>