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CCA8E">
      <w:pPr>
        <w:spacing w:line="0" w:lineRule="atLeast"/>
        <w:ind w:left="-141" w:leftChars="-67" w:firstLine="167" w:firstLineChars="38"/>
        <w:jc w:val="center"/>
        <w:rPr>
          <w:rFonts w:hint="eastAsia" w:ascii="华文中宋" w:hAnsi="华文中宋" w:eastAsia="华文中宋" w:cs="方正小标宋简体"/>
          <w:b/>
          <w:bCs/>
          <w:color w:val="333333"/>
          <w:kern w:val="0"/>
          <w:sz w:val="44"/>
          <w:szCs w:val="44"/>
          <w:highlight w:val="none"/>
        </w:rPr>
      </w:pPr>
      <w:r>
        <w:rPr>
          <w:rFonts w:hint="eastAsia" w:ascii="华文中宋" w:hAnsi="华文中宋" w:eastAsia="华文中宋" w:cs="方正小标宋简体"/>
          <w:b/>
          <w:bCs/>
          <w:color w:val="333333"/>
          <w:kern w:val="0"/>
          <w:sz w:val="44"/>
          <w:szCs w:val="44"/>
          <w:highlight w:val="none"/>
        </w:rPr>
        <w:t>项目采购需求</w:t>
      </w:r>
    </w:p>
    <w:p w14:paraId="5ABDAAAB">
      <w:pPr>
        <w:jc w:val="left"/>
        <w:rPr>
          <w:rFonts w:hint="eastAsia" w:ascii="楷体_GB2312" w:hAnsi="楷体_GB2312" w:eastAsia="楷体_GB2312" w:cs="楷体_GB2312"/>
          <w:sz w:val="28"/>
          <w:szCs w:val="32"/>
          <w:highlight w:val="none"/>
        </w:rPr>
      </w:pPr>
      <w:r>
        <w:rPr>
          <w:rFonts w:hint="eastAsia" w:ascii="华文中宋" w:hAnsi="华文中宋" w:eastAsia="华文中宋" w:cs="方正小标宋简体"/>
          <w:b/>
          <w:bCs/>
          <w:color w:val="333333"/>
          <w:kern w:val="0"/>
          <w:sz w:val="32"/>
          <w:szCs w:val="32"/>
          <w:highlight w:val="none"/>
          <w:lang w:val="en-US" w:eastAsia="zh-CN"/>
        </w:rPr>
        <w:t xml:space="preserve"> </w:t>
      </w:r>
    </w:p>
    <w:p w14:paraId="4818CDF0">
      <w:pPr>
        <w:pStyle w:val="7"/>
        <w:rPr>
          <w:rFonts w:ascii="Times New Roman" w:hAnsi="Times New Roman"/>
          <w:highlight w:val="none"/>
        </w:rPr>
      </w:pPr>
      <w:r>
        <w:rPr>
          <w:rFonts w:ascii="Times New Roman" w:hAnsi="Times New Roman"/>
          <w:highlight w:val="none"/>
        </w:rPr>
        <w:t>项目概况</w:t>
      </w:r>
    </w:p>
    <w:p w14:paraId="3A7AC803">
      <w:pPr>
        <w:pStyle w:val="8"/>
        <w:rPr>
          <w:rFonts w:ascii="Times New Roman" w:hAnsi="Times New Roman"/>
          <w:highlight w:val="none"/>
        </w:rPr>
      </w:pPr>
      <w:r>
        <w:rPr>
          <w:rFonts w:ascii="Times New Roman" w:hAnsi="Times New Roman"/>
          <w:highlight w:val="none"/>
        </w:rPr>
        <w:t>基本信息</w:t>
      </w:r>
    </w:p>
    <w:p w14:paraId="681C53C8">
      <w:pPr>
        <w:pStyle w:val="9"/>
        <w:rPr>
          <w:rFonts w:ascii="Times New Roman" w:hAnsi="Times New Roman"/>
          <w:highlight w:val="none"/>
        </w:rPr>
      </w:pPr>
      <w:r>
        <w:rPr>
          <w:rFonts w:ascii="Times New Roman" w:hAnsi="Times New Roman"/>
          <w:highlight w:val="none"/>
        </w:rPr>
        <w:t>项目名称</w:t>
      </w:r>
    </w:p>
    <w:p w14:paraId="0929014B">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省科研管理公共服务平台国产化及商密改造(2024 年)项目</w:t>
      </w:r>
      <w:r>
        <w:rPr>
          <w:rFonts w:hint="eastAsia" w:ascii="楷体_GB2312" w:hAnsi="楷体_GB2312" w:eastAsia="楷体_GB2312" w:cs="楷体_GB2312"/>
          <w:sz w:val="28"/>
          <w:szCs w:val="28"/>
          <w:highlight w:val="none"/>
          <w:lang w:eastAsia="zh-CN"/>
        </w:rPr>
        <w:t>（</w:t>
      </w:r>
      <w:r>
        <w:rPr>
          <w:rFonts w:hint="eastAsia" w:ascii="楷体_GB2312" w:hAnsi="楷体_GB2312" w:eastAsia="楷体_GB2312" w:cs="楷体_GB2312"/>
          <w:sz w:val="28"/>
          <w:szCs w:val="28"/>
          <w:highlight w:val="none"/>
          <w:lang w:val="en-US" w:eastAsia="zh-CN"/>
        </w:rPr>
        <w:t>软件开发服务</w:t>
      </w:r>
      <w:r>
        <w:rPr>
          <w:rFonts w:hint="eastAsia" w:ascii="楷体_GB2312" w:hAnsi="楷体_GB2312" w:eastAsia="楷体_GB2312" w:cs="楷体_GB2312"/>
          <w:sz w:val="28"/>
          <w:szCs w:val="28"/>
          <w:highlight w:val="none"/>
          <w:lang w:eastAsia="zh-CN"/>
        </w:rPr>
        <w:t>）</w:t>
      </w:r>
      <w:r>
        <w:rPr>
          <w:rFonts w:hint="eastAsia" w:ascii="楷体_GB2312" w:hAnsi="楷体_GB2312" w:eastAsia="楷体_GB2312" w:cs="楷体_GB2312"/>
          <w:sz w:val="28"/>
          <w:szCs w:val="28"/>
          <w:highlight w:val="none"/>
        </w:rPr>
        <w:t>。</w:t>
      </w:r>
    </w:p>
    <w:p w14:paraId="17D8E05D">
      <w:pPr>
        <w:pStyle w:val="9"/>
        <w:rPr>
          <w:rFonts w:ascii="Times New Roman" w:hAnsi="Times New Roman"/>
          <w:highlight w:val="none"/>
        </w:rPr>
      </w:pPr>
      <w:r>
        <w:rPr>
          <w:rFonts w:ascii="Times New Roman" w:hAnsi="Times New Roman"/>
          <w:highlight w:val="none"/>
        </w:rPr>
        <w:t>采购人</w:t>
      </w:r>
    </w:p>
    <w:p w14:paraId="3A1DD210">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广东省科技创新监测研究中心。</w:t>
      </w:r>
    </w:p>
    <w:p w14:paraId="7E9CCED8">
      <w:pPr>
        <w:pStyle w:val="9"/>
        <w:rPr>
          <w:rFonts w:ascii="Times New Roman" w:hAnsi="Times New Roman"/>
          <w:highlight w:val="none"/>
        </w:rPr>
      </w:pPr>
      <w:r>
        <w:rPr>
          <w:rFonts w:ascii="Times New Roman" w:hAnsi="Times New Roman"/>
          <w:highlight w:val="none"/>
        </w:rPr>
        <w:t>用户单位</w:t>
      </w:r>
    </w:p>
    <w:p w14:paraId="1245AB7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项目用户单位为</w:t>
      </w:r>
      <w:r>
        <w:rPr>
          <w:rFonts w:hint="eastAsia" w:ascii="楷体_GB2312" w:hAnsi="楷体_GB2312" w:eastAsia="楷体_GB2312" w:cs="楷体_GB2312"/>
          <w:sz w:val="28"/>
          <w:szCs w:val="28"/>
          <w:highlight w:val="none"/>
          <w:lang w:val="en-US" w:eastAsia="zh-CN"/>
        </w:rPr>
        <w:t>广东</w:t>
      </w:r>
      <w:r>
        <w:rPr>
          <w:rFonts w:hint="eastAsia" w:ascii="楷体_GB2312" w:hAnsi="楷体_GB2312" w:eastAsia="楷体_GB2312" w:cs="楷体_GB2312"/>
          <w:sz w:val="28"/>
          <w:szCs w:val="28"/>
          <w:highlight w:val="none"/>
        </w:rPr>
        <w:t>省科研管理公共服务平台相关管理单位与使用单位，包括但不限于平台建设相关承建单位、建设单位、各省实验室、企事业单位、监管机构。所涉及用户包括系统管理人员、技术/服务人员、各省实验室内部用户（包括省实验室领导、综合部、科研部、财务部等各部门）、企事业单位管理员、申报人、评审专家、监管机构用户。</w:t>
      </w:r>
    </w:p>
    <w:p w14:paraId="5838F619">
      <w:pPr>
        <w:pStyle w:val="9"/>
        <w:rPr>
          <w:rFonts w:ascii="Times New Roman" w:hAnsi="Times New Roman"/>
          <w:highlight w:val="none"/>
        </w:rPr>
      </w:pPr>
      <w:r>
        <w:rPr>
          <w:rFonts w:ascii="Times New Roman" w:hAnsi="Times New Roman"/>
          <w:highlight w:val="none"/>
        </w:rPr>
        <w:t>项目总体目标</w:t>
      </w:r>
    </w:p>
    <w:p w14:paraId="78C01735">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为使</w:t>
      </w:r>
      <w:r>
        <w:rPr>
          <w:rFonts w:hint="eastAsia" w:ascii="楷体_GB2312" w:hAnsi="楷体_GB2312" w:eastAsia="楷体_GB2312" w:cs="楷体_GB2312"/>
          <w:sz w:val="28"/>
          <w:szCs w:val="28"/>
          <w:highlight w:val="none"/>
          <w:lang w:val="en-US" w:eastAsia="zh-CN"/>
        </w:rPr>
        <w:t>广东</w:t>
      </w:r>
      <w:r>
        <w:rPr>
          <w:rFonts w:hint="eastAsia" w:ascii="楷体_GB2312" w:hAnsi="楷体_GB2312" w:eastAsia="楷体_GB2312" w:cs="楷体_GB2312"/>
          <w:sz w:val="28"/>
          <w:szCs w:val="28"/>
          <w:highlight w:val="none"/>
        </w:rPr>
        <w:t>省科研管理公共服务平台能支撑省实验室业务管理新需求，并持续保障科研管理公共服务平台稳定、可靠、安全、高效、不间断运行，2024年，通过升级改造科研管理公共服务平台业务功能，满足省实验室业务管理的新需求。</w:t>
      </w:r>
    </w:p>
    <w:p w14:paraId="4CD4DBC5">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一、根据国家、省、市政策要求，按照GB/T 39786-2021《信息系统密码应用基本要求》中等级保护第二级信息系统的密码应用要求，依托完全自主可控的核心密码防护技术，对系统进行密码支撑与应用设计，从物理和环境安全、网络和通信安全、设备和计算安全、应用和数据安全等方面进行密码应用改造，最终保障系统在身份识别、安全隔离、信息加密、完整性保护等方面的密码防护，为信息系统的安全可靠运行提供全面高效的密码支撑。</w:t>
      </w:r>
    </w:p>
    <w:p w14:paraId="700E8386">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二、支撑省实验室业务创新发展。通过本项目实施，对系统进行适应性优化改造，新增基于粤政易移动办公应用的移动端管理，为平台科技业务主管部门用户提供更便捷、高效、易用的功能服务，进一步提升科技业务管理效能</w:t>
      </w:r>
      <w:r>
        <w:rPr>
          <w:rFonts w:hint="eastAsia" w:ascii="楷体_GB2312" w:hAnsi="楷体_GB2312" w:eastAsia="楷体_GB2312" w:cs="楷体_GB2312"/>
          <w:sz w:val="28"/>
          <w:szCs w:val="28"/>
          <w:highlight w:val="none"/>
          <w:lang w:eastAsia="zh-CN"/>
        </w:rPr>
        <w:t>。</w:t>
      </w:r>
    </w:p>
    <w:p w14:paraId="0475EAF7">
      <w:pPr>
        <w:pStyle w:val="9"/>
        <w:rPr>
          <w:rFonts w:ascii="Times New Roman" w:hAnsi="Times New Roman"/>
          <w:highlight w:val="none"/>
        </w:rPr>
      </w:pPr>
      <w:r>
        <w:rPr>
          <w:rFonts w:ascii="Times New Roman" w:hAnsi="Times New Roman"/>
          <w:highlight w:val="none"/>
        </w:rPr>
        <w:t>服务地点</w:t>
      </w:r>
    </w:p>
    <w:p w14:paraId="4B93BE0D">
      <w:pPr>
        <w:ind w:firstLine="565" w:firstLineChars="202"/>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highlight w:val="none"/>
        </w:rPr>
        <w:t>广东省科技创新监测研究中心</w:t>
      </w:r>
      <w:r>
        <w:rPr>
          <w:rFonts w:hint="eastAsia" w:ascii="楷体_GB2312" w:hAnsi="楷体_GB2312" w:eastAsia="楷体_GB2312" w:cs="楷体_GB2312"/>
          <w:sz w:val="28"/>
          <w:highlight w:val="none"/>
          <w:lang w:val="en-US" w:eastAsia="zh-CN"/>
        </w:rPr>
        <w:t>及其指定地点</w:t>
      </w:r>
      <w:r>
        <w:rPr>
          <w:rFonts w:hint="eastAsia" w:ascii="楷体_GB2312" w:hAnsi="楷体_GB2312" w:eastAsia="楷体_GB2312" w:cs="楷体_GB2312"/>
          <w:sz w:val="28"/>
          <w:szCs w:val="28"/>
          <w:highlight w:val="none"/>
        </w:rPr>
        <w:t>。</w:t>
      </w:r>
    </w:p>
    <w:p w14:paraId="23EDFD27">
      <w:pPr>
        <w:pStyle w:val="9"/>
        <w:rPr>
          <w:rFonts w:hint="eastAsia" w:ascii="Times New Roman" w:hAnsi="Times New Roman" w:cs="Times New Roman"/>
          <w:b/>
          <w:highlight w:val="none"/>
        </w:rPr>
      </w:pPr>
      <w:r>
        <w:rPr>
          <w:rFonts w:hint="eastAsia" w:ascii="Times New Roman" w:hAnsi="Times New Roman" w:cs="Times New Roman"/>
          <w:b/>
          <w:highlight w:val="none"/>
        </w:rPr>
        <w:t>项目背景</w:t>
      </w:r>
    </w:p>
    <w:p w14:paraId="380D5FB1">
      <w:pPr>
        <w:ind w:firstLine="565" w:firstLineChars="202"/>
        <w:jc w:val="left"/>
        <w:rPr>
          <w:rFonts w:hint="eastAsia" w:ascii="楷体_GB2312" w:hAnsi="楷体_GB2312" w:eastAsia="楷体_GB2312" w:cs="楷体_GB2312"/>
          <w:sz w:val="28"/>
          <w:highlight w:val="none"/>
          <w:lang w:eastAsia="zh-Hans"/>
        </w:rPr>
      </w:pPr>
      <w:r>
        <w:rPr>
          <w:rFonts w:hint="eastAsia" w:ascii="楷体_GB2312" w:hAnsi="楷体_GB2312" w:eastAsia="楷体_GB2312" w:cs="楷体_GB2312"/>
          <w:sz w:val="28"/>
          <w:highlight w:val="none"/>
          <w:lang w:eastAsia="zh-Hans"/>
        </w:rPr>
        <w:t>科研管理公共服务平台为省实验室提供管理服务，实现指南征集、申报受理、评审管理、立项审批、合同管理、过程管理、项目验收等实验室项目全生命周期统一平台管理，支持广大省实验室工作者、各企事业单位、各省实验室主管部门等所有用户同一平台办公。目前，科研管理公共服务平台已有单位用户约1.7万家，个人用户约9万人，专家约2万人。</w:t>
      </w:r>
    </w:p>
    <w:p w14:paraId="777EBB52">
      <w:pPr>
        <w:pStyle w:val="7"/>
        <w:rPr>
          <w:rFonts w:ascii="Times New Roman" w:hAnsi="Times New Roman"/>
          <w:highlight w:val="none"/>
        </w:rPr>
      </w:pPr>
      <w:r>
        <w:rPr>
          <w:rFonts w:ascii="Times New Roman" w:hAnsi="Times New Roman"/>
          <w:highlight w:val="none"/>
        </w:rPr>
        <w:t>项目预算</w:t>
      </w:r>
    </w:p>
    <w:p w14:paraId="77898C3A">
      <w:pPr>
        <w:ind w:firstLine="560" w:firstLineChars="200"/>
        <w:jc w:val="left"/>
        <w:rPr>
          <w:rFonts w:hint="eastAsia" w:ascii="楷体_GB2312" w:hAnsi="楷体_GB2312" w:eastAsia="楷体_GB2312" w:cs="楷体_GB2312"/>
          <w:i/>
          <w:color w:val="7F7F7F"/>
          <w:sz w:val="28"/>
          <w:szCs w:val="28"/>
          <w:highlight w:val="none"/>
        </w:rPr>
      </w:pPr>
      <w:r>
        <w:rPr>
          <w:rFonts w:hint="eastAsia" w:ascii="楷体_GB2312" w:hAnsi="楷体_GB2312" w:eastAsia="楷体_GB2312" w:cs="楷体_GB2312"/>
          <w:sz w:val="28"/>
          <w:szCs w:val="28"/>
          <w:highlight w:val="none"/>
        </w:rPr>
        <w:t>本项目总预算为</w:t>
      </w:r>
      <w:r>
        <w:rPr>
          <w:rFonts w:hint="eastAsia" w:ascii="楷体_GB2312" w:hAnsi="楷体_GB2312" w:eastAsia="楷体_GB2312" w:cs="楷体_GB2312"/>
          <w:sz w:val="28"/>
          <w:szCs w:val="28"/>
          <w:highlight w:val="none"/>
          <w:u w:val="single"/>
        </w:rPr>
        <w:t xml:space="preserve">  67.52  </w:t>
      </w:r>
      <w:r>
        <w:rPr>
          <w:rFonts w:hint="eastAsia" w:ascii="楷体_GB2312" w:hAnsi="楷体_GB2312" w:eastAsia="楷体_GB2312" w:cs="楷体_GB2312"/>
          <w:sz w:val="28"/>
          <w:szCs w:val="28"/>
          <w:highlight w:val="none"/>
        </w:rPr>
        <w:t>万元</w:t>
      </w:r>
      <w:r>
        <w:rPr>
          <w:rFonts w:hint="eastAsia" w:ascii="楷体_GB2312" w:hAnsi="楷体_GB2312" w:eastAsia="楷体_GB2312" w:cs="楷体_GB2312"/>
          <w:i/>
          <w:color w:val="7F7F7F"/>
          <w:sz w:val="28"/>
          <w:szCs w:val="28"/>
          <w:highlight w:val="none"/>
        </w:rPr>
        <w:t>。</w:t>
      </w:r>
    </w:p>
    <w:p w14:paraId="4BF92773">
      <w:pPr>
        <w:pStyle w:val="7"/>
        <w:adjustRightInd w:val="0"/>
        <w:snapToGrid w:val="0"/>
        <w:spacing w:line="560" w:lineRule="exact"/>
        <w:jc w:val="both"/>
        <w:rPr>
          <w:rFonts w:hint="eastAsia" w:ascii="Times New Roman" w:hAnsi="Times New Roman" w:eastAsia="黑体" w:cs="Times New Roman"/>
          <w:kern w:val="0"/>
          <w:highlight w:val="none"/>
        </w:rPr>
      </w:pPr>
      <w:r>
        <w:rPr>
          <w:rFonts w:hint="eastAsia" w:ascii="Times New Roman" w:hAnsi="Times New Roman" w:eastAsia="黑体" w:cs="Times New Roman"/>
          <w:kern w:val="0"/>
          <w:highlight w:val="none"/>
        </w:rPr>
        <w:t>服务期限</w:t>
      </w:r>
    </w:p>
    <w:p w14:paraId="3E558144">
      <w:pPr>
        <w:ind w:firstLine="565" w:firstLineChars="202"/>
        <w:jc w:val="both"/>
        <w:rPr>
          <w:rFonts w:ascii="Times New Roman" w:hAnsi="Times New Roman"/>
          <w:highlight w:val="none"/>
        </w:rPr>
      </w:pPr>
      <w:r>
        <w:rPr>
          <w:rFonts w:hint="eastAsia" w:ascii="楷体_GB2312" w:hAnsi="楷体_GB2312" w:eastAsia="楷体_GB2312" w:cs="楷体_GB2312"/>
          <w:sz w:val="28"/>
          <w:szCs w:val="28"/>
          <w:highlight w:val="none"/>
          <w:lang w:val="en-US" w:eastAsia="zh-Hans"/>
        </w:rPr>
        <w:t>自合同签订之日起至2025年</w:t>
      </w:r>
      <w:r>
        <w:rPr>
          <w:rFonts w:hint="eastAsia" w:ascii="楷体_GB2312" w:hAnsi="楷体_GB2312" w:eastAsia="楷体_GB2312" w:cs="楷体_GB2312"/>
          <w:sz w:val="28"/>
          <w:szCs w:val="28"/>
          <w:highlight w:val="none"/>
          <w:lang w:val="en-US" w:eastAsia="zh-CN"/>
        </w:rPr>
        <w:t>5</w:t>
      </w:r>
      <w:r>
        <w:rPr>
          <w:rFonts w:hint="eastAsia" w:ascii="楷体_GB2312" w:hAnsi="楷体_GB2312" w:eastAsia="楷体_GB2312" w:cs="楷体_GB2312"/>
          <w:sz w:val="28"/>
          <w:szCs w:val="28"/>
          <w:highlight w:val="none"/>
          <w:lang w:val="en-US" w:eastAsia="zh-Hans"/>
        </w:rPr>
        <w:t>月</w:t>
      </w:r>
      <w:r>
        <w:rPr>
          <w:rFonts w:hint="eastAsia" w:ascii="楷体_GB2312" w:hAnsi="楷体_GB2312" w:eastAsia="楷体_GB2312" w:cs="楷体_GB2312"/>
          <w:sz w:val="28"/>
          <w:szCs w:val="28"/>
          <w:highlight w:val="none"/>
          <w:lang w:eastAsia="zh-Hans"/>
        </w:rPr>
        <w:t>，具体以合同为准。</w:t>
      </w:r>
    </w:p>
    <w:p w14:paraId="51FCC07E">
      <w:pPr>
        <w:pStyle w:val="7"/>
        <w:rPr>
          <w:rFonts w:ascii="Times New Roman" w:hAnsi="Times New Roman"/>
          <w:highlight w:val="none"/>
        </w:rPr>
      </w:pPr>
      <w:r>
        <w:rPr>
          <w:rFonts w:ascii="Times New Roman" w:hAnsi="Times New Roman"/>
          <w:highlight w:val="none"/>
        </w:rPr>
        <w:t>服务内容</w:t>
      </w:r>
    </w:p>
    <w:p w14:paraId="558A78C3">
      <w:pPr>
        <w:pStyle w:val="8"/>
        <w:rPr>
          <w:rFonts w:hint="eastAsia" w:ascii="Times New Roman" w:hAnsi="Times New Roman"/>
          <w:highlight w:val="none"/>
        </w:rPr>
      </w:pPr>
      <w:r>
        <w:rPr>
          <w:rFonts w:hint="eastAsia" w:ascii="Times New Roman" w:hAnsi="Times New Roman"/>
          <w:highlight w:val="none"/>
        </w:rPr>
        <w:t>定制软件开发服务</w:t>
      </w:r>
    </w:p>
    <w:p w14:paraId="21248F9E">
      <w:pPr>
        <w:pStyle w:val="9"/>
        <w:rPr>
          <w:rFonts w:hint="eastAsia" w:ascii="Times New Roman" w:hAnsi="Times New Roman"/>
          <w:highlight w:val="none"/>
        </w:rPr>
      </w:pPr>
      <w:r>
        <w:rPr>
          <w:rFonts w:hint="eastAsia" w:ascii="Times New Roman" w:hAnsi="Times New Roman"/>
          <w:highlight w:val="none"/>
        </w:rPr>
        <w:t>商密改造</w:t>
      </w:r>
    </w:p>
    <w:p w14:paraId="6B196EAF">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lang w:val="en-US" w:eastAsia="zh-CN"/>
        </w:rPr>
        <w:t>对</w:t>
      </w:r>
      <w:r>
        <w:rPr>
          <w:rFonts w:hint="eastAsia" w:ascii="楷体_GB2312" w:hAnsi="楷体_GB2312" w:eastAsia="楷体_GB2312" w:cs="楷体_GB2312"/>
          <w:sz w:val="28"/>
          <w:szCs w:val="28"/>
          <w:highlight w:val="none"/>
        </w:rPr>
        <w:t>科研管理公共服务平台</w:t>
      </w:r>
      <w:r>
        <w:rPr>
          <w:rFonts w:hint="eastAsia" w:ascii="楷体_GB2312" w:hAnsi="楷体_GB2312" w:eastAsia="楷体_GB2312" w:cs="楷体_GB2312"/>
          <w:sz w:val="28"/>
          <w:szCs w:val="28"/>
          <w:highlight w:val="none"/>
          <w:lang w:val="en-US" w:eastAsia="zh-CN"/>
        </w:rPr>
        <w:t>有关的身份鉴别、权限完整性保护、数据传输机密性、完整性保护、重要数据机密性保护、重要数据完整性保护、日志记录完整性保护等方面按照商密改造要求进行升级完善。</w:t>
      </w:r>
    </w:p>
    <w:p w14:paraId="4CB4647D">
      <w:pPr>
        <w:pStyle w:val="9"/>
        <w:rPr>
          <w:rFonts w:hint="eastAsia" w:ascii="Times New Roman" w:hAnsi="Times New Roman"/>
          <w:highlight w:val="none"/>
        </w:rPr>
      </w:pPr>
      <w:r>
        <w:rPr>
          <w:rFonts w:hint="eastAsia" w:ascii="Times New Roman" w:hAnsi="Times New Roman"/>
          <w:highlight w:val="none"/>
        </w:rPr>
        <w:t>粤政易移动办公应用</w:t>
      </w:r>
    </w:p>
    <w:p w14:paraId="4CD47CB8">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实现将现有平台的数据对接到粤政易移动办公平台，并通过粤政易平台进行手机端管理，方便科技业务主管部门及业务科室项目管理经办人等用户能实时查看项目的具体情况。通过移动端的展示方式，便捷人员，客户的使用，同时进行更好的体验。</w:t>
      </w:r>
      <w:r>
        <w:rPr>
          <w:rFonts w:hint="eastAsia" w:ascii="楷体_GB2312" w:hAnsi="楷体_GB2312" w:eastAsia="楷体_GB2312" w:cs="楷体_GB2312"/>
          <w:sz w:val="28"/>
          <w:szCs w:val="28"/>
          <w:highlight w:val="none"/>
          <w:lang w:val="en-US" w:eastAsia="zh-CN"/>
        </w:rPr>
        <w:t>主要功能包括系统管理、数据统计汇总、指南征集管理查询、申报管理查询、评审管理查询、立项管理查询、合同管理查询、过程管理查询、验收管理查询功能。</w:t>
      </w:r>
    </w:p>
    <w:p w14:paraId="70A494AE">
      <w:pPr>
        <w:pStyle w:val="7"/>
        <w:rPr>
          <w:rFonts w:ascii="Times New Roman" w:hAnsi="Times New Roman"/>
          <w:highlight w:val="none"/>
        </w:rPr>
      </w:pPr>
      <w:r>
        <w:rPr>
          <w:rFonts w:ascii="Times New Roman" w:hAnsi="Times New Roman"/>
          <w:highlight w:val="none"/>
        </w:rPr>
        <w:t>服务要求</w:t>
      </w:r>
    </w:p>
    <w:p w14:paraId="43B413BA">
      <w:pPr>
        <w:pStyle w:val="8"/>
        <w:rPr>
          <w:rFonts w:ascii="Times New Roman" w:hAnsi="Times New Roman"/>
          <w:b/>
          <w:bCs w:val="0"/>
          <w:highlight w:val="none"/>
        </w:rPr>
      </w:pPr>
      <w:r>
        <w:rPr>
          <w:rFonts w:ascii="Times New Roman" w:hAnsi="Times New Roman"/>
          <w:b/>
          <w:bCs w:val="0"/>
          <w:highlight w:val="none"/>
        </w:rPr>
        <w:t>技术要求</w:t>
      </w:r>
    </w:p>
    <w:p w14:paraId="6DC7C39B">
      <w:pPr>
        <w:pStyle w:val="9"/>
        <w:rPr>
          <w:rFonts w:hint="eastAsia" w:ascii="Times New Roman" w:hAnsi="Times New Roman" w:cs="Times New Roman"/>
          <w:b/>
          <w:highlight w:val="none"/>
        </w:rPr>
      </w:pPr>
      <w:r>
        <w:rPr>
          <w:rFonts w:hint="eastAsia" w:ascii="Times New Roman" w:hAnsi="Times New Roman" w:cs="Times New Roman"/>
          <w:b/>
          <w:highlight w:val="none"/>
        </w:rPr>
        <w:t>系统响应时间要求</w:t>
      </w:r>
    </w:p>
    <w:p w14:paraId="1CAA2CE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系统应具有快速响应的特性，用户打开界面和提交事务的平均响应时间应低于5秒。用户进行在线实时查询业务操作的数据处理时间应低于8秒。</w:t>
      </w:r>
    </w:p>
    <w:p w14:paraId="6B7E310A">
      <w:pPr>
        <w:pStyle w:val="9"/>
        <w:rPr>
          <w:rFonts w:hint="eastAsia" w:ascii="Times New Roman" w:hAnsi="Times New Roman" w:cs="Times New Roman"/>
          <w:b/>
          <w:highlight w:val="none"/>
        </w:rPr>
      </w:pPr>
      <w:r>
        <w:rPr>
          <w:rFonts w:hint="eastAsia" w:ascii="Times New Roman" w:hAnsi="Times New Roman" w:cs="Times New Roman"/>
          <w:b/>
          <w:highlight w:val="none"/>
        </w:rPr>
        <w:t>可靠性要求</w:t>
      </w:r>
    </w:p>
    <w:p w14:paraId="642DE4C1">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系统应具有较高的可靠性。系统设计实施应采用高可靠的产品和技术，充分考虑系统的应变能力、容错能力和纠错能力，确保系统运行稳定安全可靠。</w:t>
      </w:r>
    </w:p>
    <w:p w14:paraId="74DA877A">
      <w:pPr>
        <w:pStyle w:val="9"/>
        <w:rPr>
          <w:rFonts w:hint="eastAsia" w:ascii="Times New Roman" w:hAnsi="Times New Roman" w:cs="Times New Roman"/>
          <w:b/>
          <w:highlight w:val="none"/>
        </w:rPr>
      </w:pPr>
      <w:r>
        <w:rPr>
          <w:rFonts w:hint="eastAsia" w:ascii="Times New Roman" w:hAnsi="Times New Roman" w:cs="Times New Roman"/>
          <w:b/>
          <w:highlight w:val="none"/>
        </w:rPr>
        <w:t>易用性要求</w:t>
      </w:r>
    </w:p>
    <w:p w14:paraId="04206CF7">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充分考虑系统的易用性。系统用户界面应操作简洁、易用、灵活，风格统一。系统的用户使用文档要求齐备，易于进行系统操作使用。</w:t>
      </w:r>
    </w:p>
    <w:p w14:paraId="5CF77D61">
      <w:pPr>
        <w:pStyle w:val="9"/>
        <w:rPr>
          <w:rFonts w:hint="eastAsia" w:ascii="Times New Roman" w:hAnsi="Times New Roman" w:cs="Times New Roman"/>
          <w:b/>
          <w:highlight w:val="none"/>
        </w:rPr>
      </w:pPr>
      <w:r>
        <w:rPr>
          <w:rFonts w:hint="eastAsia" w:ascii="Times New Roman" w:hAnsi="Times New Roman" w:cs="Times New Roman"/>
          <w:b/>
          <w:highlight w:val="none"/>
        </w:rPr>
        <w:t>安全要求</w:t>
      </w:r>
    </w:p>
    <w:p w14:paraId="5D5A74EB">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为加强信息安全等级保护，规范信息安全等级保护管理，提高信息安全保障能力和水平。本项目建设必须遵守《中华人民共和国网络安全法》《网络安全等级保护制度》《信息系统密码应用基本要求》等相关法规、政策及标准，系统支持商密加密。本次系统建设存在以下安全需求：</w:t>
      </w:r>
    </w:p>
    <w:p w14:paraId="5B7D7FD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1．网络访问控制与入侵防御要求</w:t>
      </w:r>
    </w:p>
    <w:p w14:paraId="17B029CC">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网络访问控制与入侵防御系统是保障系统网络安全最基础的安全措施。因此，通过防火墙与网络入侵防御系统能够非授权的网络访问进行控制以及对应用层的部分攻击进行检测阻断，提升系统的基础防护水平。</w:t>
      </w:r>
    </w:p>
    <w:p w14:paraId="49C6574E">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2．系统运行时的安全防护与风险发现要求</w:t>
      </w:r>
    </w:p>
    <w:p w14:paraId="552D7DAB">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由于系统上线后面临的是复杂多变的安全形势，因此，需要适当的技术措施来保障系统能够安全稳定的运行，通过合理的技术措施能够有效的抵御常见的入侵攻击。同时，系统运营使用过程中，需要通过风险评估、渗透测试等技术手段，及时发现系统可能存在的新的安全漏洞、新的安全风险，保障系统安全防护能力持续改进。</w:t>
      </w:r>
    </w:p>
    <w:p w14:paraId="781B02C9">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3．敏感数据泄露防护要求</w:t>
      </w:r>
    </w:p>
    <w:p w14:paraId="189C10D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云计算环境下，应用系统的数据都采用了集中式存储的方式，易出现由于权限控制不当造成越权访问、敏感数据泄露的风险。因此，需要通过数据加密、数据库审计等措施，防范对数据的非授权访问，尽可能减少敏感数据数据泄露事件的产生。</w:t>
      </w:r>
    </w:p>
    <w:p w14:paraId="0720E412">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4．安全应急演练与应急响应要求</w:t>
      </w:r>
    </w:p>
    <w:p w14:paraId="69B614E4">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根据《国家网络安全事件应急预案》的要求，组织应建立健全网络安全事件应急工作机制，提高应对网络安全事件能力，预防和减少网络安全事件造成的损失和危害，保护公众利益，维护国家安全、公共安全和社会秩序。因此，针对系统制定相应的安全应急预案，通过应急演练的方式验证系统应急预案的有效性是保障系统出现安全事件时能够合理处置的必要措施。同时，通过应急响应服务能够确保在出现安全事件时，由安全专家到现场对安全事件进行快速的处置分析，将安全事件的影响程度降到最低，最大化的保障系统安全以及组织的相关利益，如社会声誉、业务损失、数据泄露等。</w:t>
      </w:r>
    </w:p>
    <w:p w14:paraId="0CFA7398">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5．日志安全审计要求</w:t>
      </w:r>
    </w:p>
    <w:p w14:paraId="4D310536">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根据《中华人民共和国网络安全法》第二十一条第三款的要求，信息系统相关的日志必须留存不少于六个月。对于信息系统而言，无论从安全合规的角度还是自身安全保障的角度，系统日志是分析安全风险、追溯安全事件的关键因素，同时也是信息系统入侵的直接证据。通过集中的日志存储和安全审计，能够将不同日志源的日志进行有效的关联分析，及时的发现安全风险，并对事件进行溯源。</w:t>
      </w:r>
    </w:p>
    <w:p w14:paraId="1045063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6．等级保护测评要求</w:t>
      </w:r>
    </w:p>
    <w:p w14:paraId="6A78F0A1">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随着国家《网络安全法》的正式实施，明确“国家实行网络安全等级保护制度”，确立了等保2.0的法律地位。其对于网络安全等级保护制度执行提出了法律要求，并重点就关键基础设施的安全保障提出了明确要求。同时，作为网络安全等级保护制度的落地要求，GB/T 22239-2019《信息系统安全等级保护基本要求》也将由1.0走入2.0时代，扩展增加了大数据、云计算、物联网、工控安全等技术的安全标准。</w:t>
      </w:r>
    </w:p>
    <w:p w14:paraId="6C564B66">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本项目建设需满足等保2.0技术要求，达到信息系统安全等级保护二级或以上级别，作为系统整体设计和建设标准。</w:t>
      </w:r>
    </w:p>
    <w:p w14:paraId="222717DB">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7．国密技术应用要求</w:t>
      </w:r>
    </w:p>
    <w:p w14:paraId="70782597">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本项目应严格按照密码法的安全保密要求推进“数字财政”建设，落实安全保密措施，建立符合网络安全标准化要求的保密机制。明确和落实安全保密主体责任，加强对设计、建设及运营人员的安全保密管理，确保所有人员严格遵守国家保密法律、法规和各部门安全保密相关规章制度，履行保密义务，并按要求签署保密协议。</w:t>
      </w:r>
    </w:p>
    <w:p w14:paraId="2B64C5BE">
      <w:pPr>
        <w:pStyle w:val="8"/>
        <w:rPr>
          <w:rFonts w:ascii="Times New Roman" w:hAnsi="Times New Roman" w:cs="Times New Roman"/>
          <w:b/>
          <w:bCs w:val="0"/>
          <w:highlight w:val="none"/>
        </w:rPr>
      </w:pPr>
      <w:r>
        <w:rPr>
          <w:rFonts w:ascii="Times New Roman" w:hAnsi="Times New Roman" w:cs="Times New Roman"/>
          <w:b/>
          <w:bCs w:val="0"/>
          <w:highlight w:val="none"/>
        </w:rPr>
        <w:t>测试要求</w:t>
      </w:r>
    </w:p>
    <w:p w14:paraId="17C87F6D">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系统功能及服务在上线前，中标人应组织完成单元测试、功能测试、压力测试及安全测试后，出具测试报告后提交采购人进行符合性检测。</w:t>
      </w:r>
    </w:p>
    <w:p w14:paraId="51B7F305">
      <w:pPr>
        <w:pStyle w:val="8"/>
        <w:rPr>
          <w:rFonts w:ascii="Times New Roman" w:hAnsi="Times New Roman"/>
          <w:b/>
          <w:bCs w:val="0"/>
          <w:highlight w:val="none"/>
        </w:rPr>
      </w:pPr>
      <w:r>
        <w:rPr>
          <w:rFonts w:ascii="Times New Roman" w:hAnsi="Times New Roman"/>
          <w:b/>
          <w:bCs w:val="0"/>
          <w:highlight w:val="none"/>
        </w:rPr>
        <w:t>管理要求</w:t>
      </w:r>
    </w:p>
    <w:p w14:paraId="72776E10">
      <w:pPr>
        <w:pStyle w:val="9"/>
        <w:rPr>
          <w:rFonts w:ascii="Times New Roman" w:hAnsi="Times New Roman"/>
          <w:highlight w:val="none"/>
        </w:rPr>
      </w:pPr>
      <w:r>
        <w:rPr>
          <w:rFonts w:ascii="Times New Roman" w:hAnsi="Times New Roman"/>
          <w:highlight w:val="none"/>
        </w:rPr>
        <w:t>服务人员</w:t>
      </w:r>
    </w:p>
    <w:p w14:paraId="425EA4C0">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投标人如在项目实际执行过程中</w:t>
      </w:r>
      <w:r>
        <w:rPr>
          <w:rFonts w:hint="eastAsia" w:ascii="楷体_GB2312" w:hAnsi="楷体_GB2312" w:eastAsia="楷体_GB2312" w:cs="楷体_GB2312"/>
          <w:sz w:val="28"/>
          <w:szCs w:val="28"/>
          <w:highlight w:val="none"/>
          <w:lang w:eastAsia="zh-CN"/>
        </w:rPr>
        <w:t>，</w:t>
      </w:r>
      <w:r>
        <w:rPr>
          <w:rFonts w:hint="eastAsia" w:ascii="楷体_GB2312" w:hAnsi="楷体_GB2312" w:eastAsia="楷体_GB2312" w:cs="楷体_GB2312"/>
          <w:sz w:val="28"/>
          <w:szCs w:val="28"/>
          <w:highlight w:val="none"/>
        </w:rPr>
        <w:t>发生项目经理不能按采购文件要求胜任相关工作的，采购人有权要求更换项目经理，投标人必须在两周内调整为符合采购文件要求且能胜任相关工作的项目经理并到位开展工作，否则采购人有权终止合同并报相关管理部门进行处理。</w:t>
      </w:r>
    </w:p>
    <w:p w14:paraId="1A734E90">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投标人承诺的项目经理和开发实施的主要人员未经用户同意不得调整；投标人如中途更换项目经理和主要开发技术人员，应征得用户同意，否则采购人有权终止合同。</w:t>
      </w:r>
    </w:p>
    <w:p w14:paraId="2D5B8F94">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服务商应指派固定的团队为本项目提供专业服务，服务团队成员不得少于</w:t>
      </w:r>
      <w:r>
        <w:rPr>
          <w:rFonts w:hint="eastAsia" w:ascii="楷体_GB2312" w:hAnsi="楷体_GB2312" w:eastAsia="楷体_GB2312" w:cs="楷体_GB2312"/>
          <w:sz w:val="28"/>
          <w:szCs w:val="28"/>
          <w:highlight w:val="none"/>
          <w:lang w:val="en-US" w:eastAsia="zh-CN"/>
        </w:rPr>
        <w:t>5</w:t>
      </w:r>
      <w:r>
        <w:rPr>
          <w:rFonts w:hint="eastAsia" w:ascii="楷体_GB2312" w:hAnsi="楷体_GB2312" w:eastAsia="楷体_GB2312" w:cs="楷体_GB2312"/>
          <w:sz w:val="28"/>
          <w:szCs w:val="28"/>
          <w:highlight w:val="none"/>
        </w:rPr>
        <w:t>人。项目经理应具备 5年以上</w:t>
      </w:r>
      <w:r>
        <w:rPr>
          <w:rFonts w:hint="eastAsia" w:ascii="楷体_GB2312" w:hAnsi="楷体_GB2312" w:eastAsia="楷体_GB2312" w:cs="楷体_GB2312"/>
          <w:sz w:val="28"/>
          <w:szCs w:val="28"/>
          <w:highlight w:val="none"/>
          <w:lang w:val="en-US" w:eastAsia="zh-Hans"/>
        </w:rPr>
        <w:t>信息化项目工作</w:t>
      </w:r>
      <w:r>
        <w:rPr>
          <w:rFonts w:hint="eastAsia" w:ascii="楷体_GB2312" w:hAnsi="楷体_GB2312" w:eastAsia="楷体_GB2312" w:cs="楷体_GB2312"/>
          <w:sz w:val="28"/>
          <w:szCs w:val="28"/>
          <w:highlight w:val="none"/>
        </w:rPr>
        <w:t>经验。</w:t>
      </w:r>
    </w:p>
    <w:p w14:paraId="6113EEE8">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如须调整服务团队成员，须书面向采购人提出申请，说明申请理由，经采购人书面同意方可调整团队人员，调入人员的资历和从业经验不低于调出人员，否则视为违约行为，采购人有权终止服务合同。</w:t>
      </w:r>
    </w:p>
    <w:p w14:paraId="1DD38051">
      <w:pPr>
        <w:pStyle w:val="9"/>
        <w:rPr>
          <w:rFonts w:ascii="Times New Roman" w:hAnsi="Times New Roman"/>
          <w:highlight w:val="none"/>
        </w:rPr>
      </w:pPr>
      <w:r>
        <w:rPr>
          <w:rFonts w:ascii="Times New Roman" w:hAnsi="Times New Roman"/>
          <w:highlight w:val="none"/>
        </w:rPr>
        <w:t>进度要求</w:t>
      </w:r>
    </w:p>
    <w:p w14:paraId="72AADECA">
      <w:pPr>
        <w:ind w:firstLine="565" w:firstLineChars="202"/>
        <w:jc w:val="both"/>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本项目服务周期为</w:t>
      </w:r>
      <w:r>
        <w:rPr>
          <w:rFonts w:hint="eastAsia" w:ascii="楷体_GB2312" w:hAnsi="楷体_GB2312" w:eastAsia="楷体_GB2312" w:cs="楷体_GB2312"/>
          <w:sz w:val="28"/>
          <w:szCs w:val="28"/>
          <w:highlight w:val="none"/>
          <w:lang w:val="en-US" w:eastAsia="zh-Hans"/>
        </w:rPr>
        <w:t>自合同签订之日起至2025年</w:t>
      </w:r>
      <w:r>
        <w:rPr>
          <w:rFonts w:hint="eastAsia" w:ascii="楷体_GB2312" w:hAnsi="楷体_GB2312" w:eastAsia="楷体_GB2312" w:cs="楷体_GB2312"/>
          <w:sz w:val="28"/>
          <w:szCs w:val="28"/>
          <w:highlight w:val="none"/>
          <w:lang w:val="en-US" w:eastAsia="zh-CN"/>
        </w:rPr>
        <w:t>5</w:t>
      </w:r>
      <w:r>
        <w:rPr>
          <w:rFonts w:hint="eastAsia" w:ascii="楷体_GB2312" w:hAnsi="楷体_GB2312" w:eastAsia="楷体_GB2312" w:cs="楷体_GB2312"/>
          <w:sz w:val="28"/>
          <w:szCs w:val="28"/>
          <w:highlight w:val="none"/>
          <w:lang w:val="en-US" w:eastAsia="zh-Hans"/>
        </w:rPr>
        <w:t>月</w:t>
      </w:r>
      <w:r>
        <w:rPr>
          <w:rFonts w:hint="eastAsia" w:ascii="楷体_GB2312" w:hAnsi="楷体_GB2312" w:eastAsia="楷体_GB2312" w:cs="楷体_GB2312"/>
          <w:sz w:val="28"/>
          <w:szCs w:val="28"/>
          <w:highlight w:val="none"/>
        </w:rPr>
        <w:t>。本项目中实施进度计划严格按照本项目的实施任务和进度要求，通过关键节点、里程碑事件的监控，来控制项目工作的进展和保证实现总目标，并按照最终客户规定的进度要求，按时交付阶段成果并经最终客户评审确认。</w:t>
      </w:r>
    </w:p>
    <w:p w14:paraId="5C3D56DF">
      <w:pPr>
        <w:pStyle w:val="9"/>
        <w:rPr>
          <w:rFonts w:ascii="Times New Roman" w:hAnsi="Times New Roman"/>
          <w:highlight w:val="none"/>
        </w:rPr>
      </w:pPr>
      <w:r>
        <w:rPr>
          <w:rFonts w:ascii="Times New Roman" w:hAnsi="Times New Roman"/>
          <w:highlight w:val="none"/>
        </w:rPr>
        <w:t>组织实施要求</w:t>
      </w:r>
    </w:p>
    <w:p w14:paraId="73F099FA">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为使项目按质、按量、按时及有序实施，投标人应建立完善、稳定的项目团队、内部组织管理方式及管理机构、协调机制、技术基础，支撑保障要求及其他相关要求。在项目日常管理和条件保障方面，从行政组织、后勤保障和支撑条件各方面创造良好的服务环境，确保项目的顺利实施。</w:t>
      </w:r>
    </w:p>
    <w:p w14:paraId="6C2AC1E2">
      <w:pPr>
        <w:pStyle w:val="9"/>
        <w:rPr>
          <w:rFonts w:ascii="Times New Roman" w:hAnsi="Times New Roman"/>
          <w:highlight w:val="none"/>
        </w:rPr>
      </w:pPr>
      <w:r>
        <w:rPr>
          <w:rFonts w:ascii="Times New Roman" w:hAnsi="Times New Roman"/>
          <w:highlight w:val="none"/>
        </w:rPr>
        <w:t>文档管理要求</w:t>
      </w:r>
    </w:p>
    <w:p w14:paraId="7417ED85">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投标人应在项目完成时，将本项目所有文档、资料汇集成册交付给采购人，所有文件要求用中文书写或有完整的中文注释。验收后，投标人按国家、省以及采购人档案管理要求，向采购人提供装订成册的纸质文档至少</w:t>
      </w:r>
      <w:r>
        <w:rPr>
          <w:rFonts w:hint="eastAsia" w:ascii="楷体_GB2312" w:hAnsi="楷体_GB2312" w:eastAsia="楷体_GB2312" w:cs="楷体_GB2312"/>
          <w:sz w:val="28"/>
          <w:szCs w:val="28"/>
          <w:highlight w:val="none"/>
          <w:lang w:val="en-US" w:eastAsia="zh-CN"/>
        </w:rPr>
        <w:t>1</w:t>
      </w:r>
      <w:r>
        <w:rPr>
          <w:rFonts w:hint="eastAsia" w:ascii="楷体_GB2312" w:hAnsi="楷体_GB2312" w:eastAsia="楷体_GB2312" w:cs="楷体_GB2312"/>
          <w:sz w:val="28"/>
          <w:szCs w:val="28"/>
          <w:highlight w:val="none"/>
        </w:rPr>
        <w:t>套，电子文档1套。</w:t>
      </w:r>
    </w:p>
    <w:p w14:paraId="00FD228B">
      <w:pPr>
        <w:pStyle w:val="9"/>
        <w:rPr>
          <w:rFonts w:ascii="Times New Roman" w:hAnsi="Times New Roman"/>
          <w:highlight w:val="none"/>
        </w:rPr>
      </w:pPr>
      <w:r>
        <w:rPr>
          <w:rFonts w:ascii="Times New Roman" w:hAnsi="Times New Roman"/>
          <w:highlight w:val="none"/>
        </w:rPr>
        <w:t>质量要求</w:t>
      </w:r>
    </w:p>
    <w:p w14:paraId="4D148EF2">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为保证本项目能按时高质的顺利完成，规避项目风险或将风险降至最低程度，投标人应建立项目质量管理体系，包括但不限于质量目标、质量指标、岗位责任、问题处理计划、质量评价、整改完善等内容，并建立奖惩制度。</w:t>
      </w:r>
    </w:p>
    <w:p w14:paraId="08E56BE5">
      <w:pPr>
        <w:pStyle w:val="8"/>
        <w:rPr>
          <w:rFonts w:ascii="Times New Roman" w:hAnsi="Times New Roman"/>
          <w:highlight w:val="none"/>
        </w:rPr>
      </w:pPr>
      <w:r>
        <w:rPr>
          <w:rFonts w:ascii="Times New Roman" w:hAnsi="Times New Roman"/>
          <w:highlight w:val="none"/>
        </w:rPr>
        <w:t>验收标准</w:t>
      </w:r>
    </w:p>
    <w:p w14:paraId="6A6638A8">
      <w:pPr>
        <w:ind w:firstLine="560" w:firstLineChars="200"/>
        <w:jc w:val="left"/>
        <w:rPr>
          <w:rFonts w:hint="eastAsia" w:ascii="楷体_GB2312" w:hAnsi="楷体_GB2312" w:eastAsia="楷体_GB2312" w:cs="楷体_GB2312"/>
          <w:sz w:val="28"/>
          <w:szCs w:val="28"/>
          <w:highlight w:val="none"/>
          <w:lang w:eastAsia="zh-Hans"/>
        </w:rPr>
      </w:pPr>
      <w:r>
        <w:rPr>
          <w:rFonts w:hint="eastAsia" w:ascii="楷体_GB2312" w:hAnsi="楷体_GB2312" w:eastAsia="楷体_GB2312" w:cs="楷体_GB2312"/>
          <w:sz w:val="28"/>
          <w:szCs w:val="28"/>
          <w:highlight w:val="none"/>
          <w:lang w:eastAsia="zh-Hans"/>
        </w:rPr>
        <w:t>本项目的验收应符合广东省</w:t>
      </w:r>
      <w:r>
        <w:rPr>
          <w:rFonts w:hint="eastAsia" w:ascii="楷体_GB2312" w:hAnsi="楷体_GB2312" w:eastAsia="楷体_GB2312" w:cs="楷体_GB2312"/>
          <w:sz w:val="28"/>
          <w:szCs w:val="28"/>
          <w:highlight w:val="none"/>
          <w:lang w:val="en-US" w:eastAsia="zh-CN"/>
        </w:rPr>
        <w:t>省级</w:t>
      </w:r>
      <w:r>
        <w:rPr>
          <w:rFonts w:hint="eastAsia" w:ascii="楷体_GB2312" w:hAnsi="楷体_GB2312" w:eastAsia="楷体_GB2312" w:cs="楷体_GB2312"/>
          <w:sz w:val="28"/>
          <w:szCs w:val="28"/>
          <w:highlight w:val="none"/>
          <w:lang w:eastAsia="zh-Hans"/>
        </w:rPr>
        <w:t>政务</w:t>
      </w:r>
      <w:r>
        <w:rPr>
          <w:rFonts w:hint="eastAsia" w:ascii="楷体_GB2312" w:hAnsi="楷体_GB2312" w:eastAsia="楷体_GB2312" w:cs="楷体_GB2312"/>
          <w:sz w:val="28"/>
          <w:szCs w:val="28"/>
          <w:highlight w:val="none"/>
          <w:lang w:val="en-US" w:eastAsia="zh-CN"/>
        </w:rPr>
        <w:t>信息化项目</w:t>
      </w:r>
      <w:r>
        <w:rPr>
          <w:rFonts w:hint="eastAsia" w:ascii="楷体_GB2312" w:hAnsi="楷体_GB2312" w:eastAsia="楷体_GB2312" w:cs="楷体_GB2312"/>
          <w:sz w:val="28"/>
          <w:szCs w:val="28"/>
          <w:highlight w:val="none"/>
          <w:lang w:eastAsia="zh-Hans"/>
        </w:rPr>
        <w:t>验收管理的</w:t>
      </w:r>
      <w:r>
        <w:rPr>
          <w:rFonts w:hint="eastAsia" w:ascii="楷体_GB2312" w:hAnsi="楷体_GB2312" w:eastAsia="楷体_GB2312" w:cs="楷体_GB2312"/>
          <w:sz w:val="28"/>
          <w:szCs w:val="28"/>
          <w:highlight w:val="none"/>
          <w:lang w:val="en-US" w:eastAsia="zh-CN"/>
        </w:rPr>
        <w:t>相关</w:t>
      </w:r>
      <w:r>
        <w:rPr>
          <w:rFonts w:hint="eastAsia" w:ascii="楷体_GB2312" w:hAnsi="楷体_GB2312" w:eastAsia="楷体_GB2312" w:cs="楷体_GB2312"/>
          <w:sz w:val="28"/>
          <w:szCs w:val="28"/>
          <w:highlight w:val="none"/>
          <w:lang w:eastAsia="zh-Hans"/>
        </w:rPr>
        <w:t>要求，同时应遵循下列标准：</w:t>
      </w:r>
    </w:p>
    <w:p w14:paraId="36E7A684">
      <w:pPr>
        <w:ind w:firstLine="560" w:firstLineChars="200"/>
        <w:jc w:val="left"/>
        <w:rPr>
          <w:rFonts w:hint="eastAsia" w:ascii="楷体_GB2312" w:hAnsi="楷体_GB2312" w:eastAsia="楷体_GB2312" w:cs="楷体_GB2312"/>
          <w:sz w:val="28"/>
          <w:szCs w:val="28"/>
          <w:highlight w:val="none"/>
          <w:lang w:eastAsia="zh-Hans"/>
        </w:rPr>
      </w:pPr>
      <w:r>
        <w:rPr>
          <w:rFonts w:hint="eastAsia" w:ascii="楷体_GB2312" w:hAnsi="楷体_GB2312" w:eastAsia="楷体_GB2312" w:cs="楷体_GB2312"/>
          <w:sz w:val="28"/>
          <w:szCs w:val="28"/>
          <w:highlight w:val="none"/>
          <w:lang w:eastAsia="zh-Hans"/>
        </w:rPr>
        <w:t>1）实现合同</w:t>
      </w:r>
      <w:r>
        <w:rPr>
          <w:rFonts w:hint="eastAsia" w:ascii="楷体_GB2312" w:hAnsi="楷体_GB2312" w:eastAsia="楷体_GB2312" w:cs="楷体_GB2312"/>
          <w:sz w:val="28"/>
          <w:szCs w:val="28"/>
          <w:highlight w:val="none"/>
          <w:lang w:eastAsia="zh-CN"/>
        </w:rPr>
        <w:t>、</w:t>
      </w:r>
      <w:r>
        <w:rPr>
          <w:rFonts w:hint="eastAsia" w:ascii="楷体_GB2312" w:hAnsi="楷体_GB2312" w:eastAsia="楷体_GB2312" w:cs="楷体_GB2312"/>
          <w:sz w:val="28"/>
          <w:szCs w:val="28"/>
          <w:highlight w:val="none"/>
          <w:lang w:val="en-US" w:eastAsia="zh-CN"/>
        </w:rPr>
        <w:t>采购需求书、响应</w:t>
      </w:r>
      <w:r>
        <w:rPr>
          <w:rFonts w:hint="eastAsia" w:ascii="楷体_GB2312" w:hAnsi="楷体_GB2312" w:eastAsia="楷体_GB2312" w:cs="楷体_GB2312"/>
          <w:sz w:val="28"/>
          <w:szCs w:val="28"/>
          <w:highlight w:val="none"/>
          <w:lang w:eastAsia="zh-Hans"/>
        </w:rPr>
        <w:t>文件中列举的全部内容。</w:t>
      </w:r>
    </w:p>
    <w:p w14:paraId="20841F00">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lang w:eastAsia="zh-Hans"/>
        </w:rPr>
        <w:t>2）项目验收</w:t>
      </w:r>
      <w:r>
        <w:rPr>
          <w:rFonts w:hint="eastAsia" w:ascii="楷体_GB2312" w:hAnsi="楷体_GB2312" w:eastAsia="楷体_GB2312" w:cs="楷体_GB2312"/>
          <w:sz w:val="28"/>
          <w:szCs w:val="28"/>
          <w:highlight w:val="none"/>
          <w:lang w:val="en-US" w:eastAsia="zh-CN"/>
        </w:rPr>
        <w:t>材料</w:t>
      </w:r>
      <w:r>
        <w:rPr>
          <w:rFonts w:hint="eastAsia" w:ascii="楷体_GB2312" w:hAnsi="楷体_GB2312" w:eastAsia="楷体_GB2312" w:cs="楷体_GB2312"/>
          <w:sz w:val="28"/>
          <w:szCs w:val="28"/>
          <w:highlight w:val="none"/>
          <w:lang w:val="en-US" w:eastAsia="zh-Hans"/>
        </w:rPr>
        <w:t>包括实现合同</w:t>
      </w:r>
      <w:r>
        <w:rPr>
          <w:rFonts w:hint="eastAsia" w:ascii="楷体_GB2312" w:hAnsi="楷体_GB2312" w:eastAsia="楷体_GB2312" w:cs="楷体_GB2312"/>
          <w:sz w:val="28"/>
          <w:szCs w:val="28"/>
          <w:highlight w:val="none"/>
          <w:lang w:val="en-US" w:eastAsia="zh-CN"/>
        </w:rPr>
        <w:t>、采购需求书、响应</w:t>
      </w:r>
      <w:r>
        <w:rPr>
          <w:rFonts w:hint="eastAsia" w:ascii="楷体_GB2312" w:hAnsi="楷体_GB2312" w:eastAsia="楷体_GB2312" w:cs="楷体_GB2312"/>
          <w:sz w:val="28"/>
          <w:szCs w:val="28"/>
          <w:highlight w:val="none"/>
          <w:lang w:val="en-US" w:eastAsia="zh-Hans"/>
        </w:rPr>
        <w:t>文件中</w:t>
      </w:r>
      <w:r>
        <w:rPr>
          <w:rFonts w:hint="eastAsia" w:ascii="楷体_GB2312" w:hAnsi="楷体_GB2312" w:eastAsia="楷体_GB2312" w:cs="楷体_GB2312"/>
          <w:sz w:val="28"/>
          <w:szCs w:val="28"/>
          <w:highlight w:val="none"/>
          <w:lang w:val="en-US" w:eastAsia="zh-CN"/>
        </w:rPr>
        <w:t>明确的相关成果文档和广东省省级政务信息化项目验收管理办法所要求的全部文档。</w:t>
      </w:r>
    </w:p>
    <w:p w14:paraId="73FDE893">
      <w:pPr>
        <w:pStyle w:val="8"/>
        <w:rPr>
          <w:rFonts w:ascii="Times New Roman" w:hAnsi="Times New Roman"/>
          <w:highlight w:val="none"/>
        </w:rPr>
      </w:pPr>
      <w:r>
        <w:rPr>
          <w:rFonts w:ascii="Times New Roman" w:hAnsi="Times New Roman"/>
          <w:highlight w:val="none"/>
        </w:rPr>
        <w:t>其他要求</w:t>
      </w:r>
    </w:p>
    <w:p w14:paraId="4414E27E">
      <w:pPr>
        <w:pStyle w:val="9"/>
        <w:rPr>
          <w:rFonts w:ascii="Times New Roman" w:hAnsi="Times New Roman"/>
          <w:highlight w:val="none"/>
        </w:rPr>
      </w:pPr>
      <w:r>
        <w:rPr>
          <w:rFonts w:ascii="Times New Roman" w:hAnsi="Times New Roman"/>
          <w:highlight w:val="none"/>
        </w:rPr>
        <w:t>培训要求</w:t>
      </w:r>
    </w:p>
    <w:p w14:paraId="571FC59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中标人需提供系统操作与使用方面的培训服务，包括对采购人与各省实验室管理部门工作人员的培训，根据用户角色安排培训课程，对系统管理人员、业务人员分别提供有针对性地培训内容，培训应在对应的功能服务上线前完成。</w:t>
      </w:r>
    </w:p>
    <w:p w14:paraId="444A821D">
      <w:pPr>
        <w:pStyle w:val="9"/>
        <w:rPr>
          <w:rFonts w:ascii="Times New Roman" w:hAnsi="Times New Roman"/>
          <w:highlight w:val="none"/>
        </w:rPr>
      </w:pPr>
      <w:r>
        <w:rPr>
          <w:rFonts w:ascii="Times New Roman" w:hAnsi="Times New Roman"/>
          <w:highlight w:val="none"/>
        </w:rPr>
        <w:t>服务响应要求</w:t>
      </w:r>
    </w:p>
    <w:p w14:paraId="5123072A">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中标人须提供详细的技术支持和运维服务方案。中标人须确保系统7*24小时安全稳定运行，无计划外停机。服务响应可通过现场、远程等方式提供，由此产生的一切费用均由中标人承担。系统出现故障时，中标人要在1小时内服务响应，系统自身缺陷造成的重大故障需在2小时内修复，非重大故障4小时内修复。如需到现场处理的系统故障要求24小时内解决，及时提交故障分析报告，并提出有效措施加以解决。</w:t>
      </w:r>
    </w:p>
    <w:p w14:paraId="3016D160">
      <w:pPr>
        <w:pStyle w:val="9"/>
        <w:rPr>
          <w:rFonts w:ascii="Times New Roman" w:hAnsi="Times New Roman"/>
          <w:highlight w:val="none"/>
        </w:rPr>
      </w:pPr>
      <w:r>
        <w:rPr>
          <w:rFonts w:ascii="Times New Roman" w:hAnsi="Times New Roman"/>
          <w:highlight w:val="none"/>
        </w:rPr>
        <w:t>资产权属</w:t>
      </w:r>
    </w:p>
    <w:p w14:paraId="5357D2C5">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1.本项目不会引起任何已申请、登记的知识产权所有权的转移。</w:t>
      </w:r>
    </w:p>
    <w:p w14:paraId="464FDFC2">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2.投标人为履行本项目义务所形成的服务成果</w:t>
      </w:r>
      <w:r>
        <w:rPr>
          <w:rFonts w:hint="eastAsia" w:ascii="楷体_GB2312" w:hAnsi="楷体_GB2312" w:eastAsia="楷体_GB2312" w:cs="楷体_GB2312"/>
          <w:sz w:val="28"/>
          <w:szCs w:val="28"/>
          <w:highlight w:val="none"/>
          <w:lang w:eastAsia="zh-CN"/>
        </w:rPr>
        <w:t>、</w:t>
      </w:r>
      <w:r>
        <w:rPr>
          <w:rFonts w:hint="eastAsia" w:ascii="楷体_GB2312" w:hAnsi="楷体_GB2312" w:eastAsia="楷体_GB2312" w:cs="楷体_GB2312"/>
          <w:sz w:val="28"/>
          <w:szCs w:val="28"/>
          <w:highlight w:val="none"/>
        </w:rPr>
        <w:t>知识产权</w:t>
      </w:r>
      <w:r>
        <w:rPr>
          <w:rFonts w:hint="eastAsia" w:ascii="楷体_GB2312" w:hAnsi="楷体_GB2312" w:eastAsia="楷体_GB2312" w:cs="楷体_GB2312"/>
          <w:sz w:val="28"/>
          <w:szCs w:val="28"/>
          <w:highlight w:val="none"/>
          <w:lang w:val="en-US" w:eastAsia="zh-CN"/>
        </w:rPr>
        <w:t>等</w:t>
      </w:r>
      <w:r>
        <w:rPr>
          <w:rFonts w:hint="eastAsia" w:ascii="楷体_GB2312" w:hAnsi="楷体_GB2312" w:eastAsia="楷体_GB2312" w:cs="楷体_GB2312"/>
          <w:sz w:val="28"/>
          <w:szCs w:val="28"/>
          <w:highlight w:val="none"/>
        </w:rPr>
        <w:t>归采购人单独所有。</w:t>
      </w:r>
    </w:p>
    <w:p w14:paraId="369BADD4">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3.本项目所涉及的数据所有权归省科技厅所有。投标人只能用于履行本项目之义务。</w:t>
      </w:r>
    </w:p>
    <w:p w14:paraId="1CF5C13F">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14:paraId="590D2B0E">
      <w:pPr>
        <w:pStyle w:val="9"/>
        <w:rPr>
          <w:rFonts w:ascii="Times New Roman" w:hAnsi="Times New Roman"/>
          <w:highlight w:val="none"/>
        </w:rPr>
      </w:pPr>
      <w:r>
        <w:rPr>
          <w:rFonts w:ascii="Times New Roman" w:hAnsi="Times New Roman"/>
          <w:highlight w:val="none"/>
        </w:rPr>
        <w:t>保密要求</w:t>
      </w:r>
    </w:p>
    <w:p w14:paraId="1A23816C">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1.投标人应签订保密协议，对其因身份、职务、职业或技术关系而知悉的采购人商业秘密和党政机关保密信息应严格保守，保证不被披露或使用，包括意外或过失。</w:t>
      </w:r>
    </w:p>
    <w:p w14:paraId="0EE76360">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 xml:space="preserve">2.投标人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 </w:t>
      </w:r>
    </w:p>
    <w:p w14:paraId="70F96C03">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 xml:space="preserve">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14:paraId="344A5CCF">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 xml:space="preserve">4.严禁泄露在工作中接触到的政府机关科技研究、发明、装备器材及其技术资料和政府工作信息。 </w:t>
      </w:r>
    </w:p>
    <w:p w14:paraId="23B9A522">
      <w:pPr>
        <w:pStyle w:val="9"/>
        <w:rPr>
          <w:rFonts w:ascii="Times New Roman" w:hAnsi="Times New Roman"/>
          <w:highlight w:val="none"/>
        </w:rPr>
      </w:pPr>
      <w:r>
        <w:rPr>
          <w:rFonts w:ascii="Times New Roman" w:hAnsi="Times New Roman"/>
          <w:highlight w:val="none"/>
        </w:rPr>
        <w:t>监理要求</w:t>
      </w:r>
    </w:p>
    <w:p w14:paraId="6DD6005B">
      <w:pPr>
        <w:ind w:firstLine="560" w:firstLineChars="200"/>
        <w:jc w:val="left"/>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rPr>
        <w:t>投标人须承诺，在项目开展过程中接受采购人指定的</w:t>
      </w:r>
      <w:r>
        <w:rPr>
          <w:rFonts w:hint="eastAsia" w:ascii="楷体_GB2312" w:hAnsi="楷体_GB2312" w:eastAsia="楷体_GB2312" w:cs="楷体_GB2312"/>
          <w:sz w:val="28"/>
          <w:szCs w:val="28"/>
          <w:highlight w:val="none"/>
          <w:lang w:val="en-US" w:eastAsia="zh-CN"/>
        </w:rPr>
        <w:t>第三方</w:t>
      </w:r>
      <w:r>
        <w:rPr>
          <w:rFonts w:hint="eastAsia" w:ascii="楷体_GB2312" w:hAnsi="楷体_GB2312" w:eastAsia="楷体_GB2312" w:cs="楷体_GB2312"/>
          <w:sz w:val="28"/>
          <w:szCs w:val="28"/>
          <w:highlight w:val="none"/>
        </w:rPr>
        <w:t>机构的</w:t>
      </w:r>
      <w:r>
        <w:rPr>
          <w:rFonts w:hint="eastAsia" w:ascii="楷体_GB2312" w:hAnsi="楷体_GB2312" w:eastAsia="楷体_GB2312" w:cs="楷体_GB2312"/>
          <w:sz w:val="28"/>
          <w:szCs w:val="28"/>
          <w:highlight w:val="none"/>
          <w:lang w:val="en-US" w:eastAsia="zh-CN"/>
        </w:rPr>
        <w:t>监督</w:t>
      </w:r>
      <w:r>
        <w:rPr>
          <w:rFonts w:hint="eastAsia" w:ascii="楷体_GB2312" w:hAnsi="楷体_GB2312" w:eastAsia="楷体_GB2312" w:cs="楷体_GB2312"/>
          <w:sz w:val="28"/>
          <w:szCs w:val="28"/>
          <w:highlight w:val="none"/>
        </w:rPr>
        <w:t>。</w:t>
      </w:r>
    </w:p>
    <w:p w14:paraId="7DA4AAC4">
      <w:pPr>
        <w:pStyle w:val="7"/>
        <w:rPr>
          <w:rFonts w:ascii="Times New Roman" w:hAnsi="Times New Roman"/>
          <w:highlight w:val="none"/>
        </w:rPr>
      </w:pPr>
      <w:r>
        <w:rPr>
          <w:rFonts w:ascii="Times New Roman" w:hAnsi="Times New Roman"/>
          <w:highlight w:val="none"/>
        </w:rPr>
        <w:t>付款方式</w:t>
      </w:r>
    </w:p>
    <w:p w14:paraId="2013197E">
      <w:pPr>
        <w:ind w:firstLine="560" w:firstLineChars="200"/>
        <w:jc w:val="left"/>
        <w:rPr>
          <w:rFonts w:hint="eastAsia" w:ascii="楷体_GB2312" w:hAnsi="楷体_GB2312" w:eastAsia="楷体_GB2312" w:cs="楷体_GB2312"/>
          <w:i w:val="0"/>
          <w:iCs/>
          <w:color w:val="auto"/>
          <w:sz w:val="28"/>
          <w:szCs w:val="28"/>
          <w:highlight w:val="none"/>
          <w:lang w:eastAsia="zh-CN"/>
        </w:rPr>
      </w:pPr>
      <w:r>
        <w:rPr>
          <w:rFonts w:hint="eastAsia" w:ascii="楷体_GB2312" w:hAnsi="楷体_GB2312" w:eastAsia="楷体_GB2312" w:cs="楷体_GB2312"/>
          <w:i w:val="0"/>
          <w:iCs/>
          <w:color w:val="auto"/>
          <w:sz w:val="28"/>
          <w:szCs w:val="28"/>
          <w:highlight w:val="none"/>
        </w:rPr>
        <w:t>本项目计划分 2 期支付</w:t>
      </w:r>
      <w:r>
        <w:rPr>
          <w:rFonts w:hint="eastAsia" w:ascii="楷体_GB2312" w:hAnsi="楷体_GB2312" w:eastAsia="楷体_GB2312" w:cs="楷体_GB2312"/>
          <w:i w:val="0"/>
          <w:iCs/>
          <w:color w:val="auto"/>
          <w:sz w:val="28"/>
          <w:szCs w:val="28"/>
          <w:highlight w:val="none"/>
          <w:lang w:eastAsia="zh-CN"/>
        </w:rPr>
        <w:t>，</w:t>
      </w:r>
      <w:r>
        <w:rPr>
          <w:rFonts w:hint="eastAsia" w:ascii="楷体_GB2312" w:hAnsi="楷体_GB2312" w:eastAsia="楷体_GB2312" w:cs="楷体_GB2312"/>
          <w:i w:val="0"/>
          <w:iCs/>
          <w:color w:val="auto"/>
          <w:sz w:val="28"/>
          <w:szCs w:val="28"/>
          <w:highlight w:val="none"/>
        </w:rPr>
        <w:t>支付方式和时间如下</w:t>
      </w:r>
      <w:r>
        <w:rPr>
          <w:rFonts w:hint="eastAsia" w:ascii="楷体_GB2312" w:hAnsi="楷体_GB2312" w:eastAsia="楷体_GB2312" w:cs="楷体_GB2312"/>
          <w:i w:val="0"/>
          <w:iCs/>
          <w:color w:val="auto"/>
          <w:sz w:val="28"/>
          <w:szCs w:val="28"/>
          <w:highlight w:val="none"/>
          <w:lang w:eastAsia="zh-CN"/>
        </w:rPr>
        <w:t>（</w:t>
      </w:r>
      <w:r>
        <w:rPr>
          <w:rFonts w:hint="eastAsia" w:ascii="楷体_GB2312" w:hAnsi="楷体_GB2312" w:eastAsia="楷体_GB2312" w:cs="楷体_GB2312"/>
          <w:i w:val="0"/>
          <w:iCs/>
          <w:color w:val="auto"/>
          <w:sz w:val="28"/>
          <w:szCs w:val="28"/>
          <w:highlight w:val="none"/>
          <w:lang w:val="en-US" w:eastAsia="zh-CN"/>
        </w:rPr>
        <w:t>具体以签订的合同为准</w:t>
      </w:r>
      <w:r>
        <w:rPr>
          <w:rFonts w:hint="eastAsia" w:ascii="楷体_GB2312" w:hAnsi="楷体_GB2312" w:eastAsia="楷体_GB2312" w:cs="楷体_GB2312"/>
          <w:i w:val="0"/>
          <w:iCs/>
          <w:color w:val="auto"/>
          <w:sz w:val="28"/>
          <w:szCs w:val="28"/>
          <w:highlight w:val="none"/>
          <w:lang w:eastAsia="zh-CN"/>
        </w:rPr>
        <w:t>）</w:t>
      </w:r>
    </w:p>
    <w:p w14:paraId="70DC09FF">
      <w:pPr>
        <w:ind w:firstLine="560" w:firstLineChars="200"/>
        <w:jc w:val="left"/>
        <w:rPr>
          <w:rFonts w:hint="eastAsia" w:ascii="楷体_GB2312" w:hAnsi="楷体_GB2312" w:eastAsia="楷体_GB2312" w:cs="楷体_GB2312"/>
          <w:i w:val="0"/>
          <w:iCs/>
          <w:color w:val="auto"/>
          <w:sz w:val="28"/>
          <w:szCs w:val="28"/>
          <w:highlight w:val="none"/>
        </w:rPr>
      </w:pPr>
      <w:r>
        <w:rPr>
          <w:rFonts w:hint="eastAsia" w:ascii="楷体_GB2312" w:hAnsi="楷体_GB2312" w:eastAsia="楷体_GB2312" w:cs="楷体_GB2312"/>
          <w:i w:val="0"/>
          <w:iCs/>
          <w:color w:val="auto"/>
          <w:sz w:val="28"/>
          <w:szCs w:val="28"/>
          <w:highlight w:val="none"/>
          <w:lang w:val="en-US" w:eastAsia="zh-CN"/>
        </w:rPr>
        <w:t>1.</w:t>
      </w:r>
      <w:r>
        <w:rPr>
          <w:rFonts w:hint="eastAsia" w:ascii="楷体_GB2312" w:hAnsi="楷体_GB2312" w:eastAsia="楷体_GB2312" w:cs="楷体_GB2312"/>
          <w:i w:val="0"/>
          <w:iCs/>
          <w:color w:val="auto"/>
          <w:sz w:val="28"/>
          <w:szCs w:val="28"/>
          <w:highlight w:val="none"/>
        </w:rPr>
        <w:t>首期款：签订合同后 15 个工作日内，中标人书面提出支付申请函及拟支付金额等额的符合采购人财务管理要求的相应发票，采购人确认后启动首期款支付流程，</w:t>
      </w:r>
      <w:r>
        <w:rPr>
          <w:rFonts w:hint="eastAsia" w:ascii="楷体_GB2312" w:hAnsi="楷体_GB2312" w:eastAsia="楷体_GB2312" w:cs="楷体_GB2312"/>
          <w:i w:val="0"/>
          <w:iCs/>
          <w:color w:val="auto"/>
          <w:sz w:val="28"/>
          <w:szCs w:val="28"/>
          <w:highlight w:val="none"/>
          <w:lang w:val="en-US" w:eastAsia="zh-CN"/>
        </w:rPr>
        <w:t>约支付</w:t>
      </w:r>
      <w:r>
        <w:rPr>
          <w:rFonts w:hint="eastAsia" w:ascii="楷体_GB2312" w:hAnsi="楷体_GB2312" w:eastAsia="楷体_GB2312" w:cs="楷体_GB2312"/>
          <w:i w:val="0"/>
          <w:iCs/>
          <w:color w:val="auto"/>
          <w:sz w:val="28"/>
          <w:szCs w:val="28"/>
          <w:highlight w:val="none"/>
        </w:rPr>
        <w:t>合同总金额</w:t>
      </w:r>
      <w:r>
        <w:rPr>
          <w:rFonts w:hint="eastAsia" w:ascii="楷体_GB2312" w:hAnsi="楷体_GB2312" w:eastAsia="楷体_GB2312" w:cs="楷体_GB2312"/>
          <w:i w:val="0"/>
          <w:iCs/>
          <w:color w:val="auto"/>
          <w:sz w:val="28"/>
          <w:szCs w:val="28"/>
          <w:highlight w:val="none"/>
          <w:lang w:val="en-US" w:eastAsia="zh-CN"/>
        </w:rPr>
        <w:t>的70</w:t>
      </w:r>
      <w:r>
        <w:rPr>
          <w:rFonts w:hint="eastAsia" w:ascii="楷体_GB2312" w:hAnsi="楷体_GB2312" w:eastAsia="楷体_GB2312" w:cs="楷体_GB2312"/>
          <w:i w:val="0"/>
          <w:iCs/>
          <w:color w:val="auto"/>
          <w:sz w:val="28"/>
          <w:szCs w:val="28"/>
          <w:highlight w:val="none"/>
        </w:rPr>
        <w:t>%。如财政部门另有规定的，从其规定。</w:t>
      </w:r>
    </w:p>
    <w:p w14:paraId="47DD2608">
      <w:pPr>
        <w:ind w:firstLine="560" w:firstLineChars="200"/>
        <w:jc w:val="left"/>
        <w:rPr>
          <w:rFonts w:hint="eastAsia" w:ascii="楷体_GB2312" w:hAnsi="楷体_GB2312" w:eastAsia="楷体_GB2312" w:cs="楷体_GB2312"/>
          <w:i w:val="0"/>
          <w:iCs/>
          <w:color w:val="auto"/>
          <w:sz w:val="28"/>
          <w:szCs w:val="28"/>
          <w:highlight w:val="none"/>
        </w:rPr>
      </w:pPr>
      <w:r>
        <w:rPr>
          <w:rFonts w:hint="eastAsia" w:ascii="楷体_GB2312" w:hAnsi="楷体_GB2312" w:eastAsia="楷体_GB2312" w:cs="楷体_GB2312"/>
          <w:i w:val="0"/>
          <w:iCs/>
          <w:color w:val="auto"/>
          <w:sz w:val="28"/>
          <w:szCs w:val="28"/>
          <w:highlight w:val="none"/>
          <w:lang w:val="en-US" w:eastAsia="zh-CN"/>
        </w:rPr>
        <w:t>2.</w:t>
      </w:r>
      <w:r>
        <w:rPr>
          <w:rFonts w:hint="eastAsia" w:ascii="楷体_GB2312" w:hAnsi="楷体_GB2312" w:eastAsia="楷体_GB2312" w:cs="楷体_GB2312"/>
          <w:i w:val="0"/>
          <w:iCs/>
          <w:color w:val="auto"/>
          <w:sz w:val="28"/>
          <w:szCs w:val="28"/>
          <w:highlight w:val="none"/>
        </w:rPr>
        <w:t>尾款：项目验收通过后15个工作日内，中标人书面提出支付申请函及拟支付金额等额的符合采购人财务管理要求的相应发票，采购人确认后启动尾款支付流程，</w:t>
      </w:r>
      <w:r>
        <w:rPr>
          <w:rFonts w:hint="eastAsia" w:ascii="楷体_GB2312" w:hAnsi="楷体_GB2312" w:eastAsia="楷体_GB2312" w:cs="楷体_GB2312"/>
          <w:i w:val="0"/>
          <w:iCs/>
          <w:color w:val="auto"/>
          <w:sz w:val="28"/>
          <w:szCs w:val="28"/>
          <w:highlight w:val="none"/>
          <w:lang w:val="en-US" w:eastAsia="zh-CN"/>
        </w:rPr>
        <w:t>约支付</w:t>
      </w:r>
      <w:r>
        <w:rPr>
          <w:rFonts w:hint="eastAsia" w:ascii="楷体_GB2312" w:hAnsi="楷体_GB2312" w:eastAsia="楷体_GB2312" w:cs="楷体_GB2312"/>
          <w:i w:val="0"/>
          <w:iCs/>
          <w:color w:val="auto"/>
          <w:sz w:val="28"/>
          <w:szCs w:val="28"/>
          <w:highlight w:val="none"/>
        </w:rPr>
        <w:t>合同总金额的</w:t>
      </w:r>
      <w:r>
        <w:rPr>
          <w:rFonts w:hint="eastAsia" w:ascii="楷体_GB2312" w:hAnsi="楷体_GB2312" w:eastAsia="楷体_GB2312" w:cs="楷体_GB2312"/>
          <w:i w:val="0"/>
          <w:iCs/>
          <w:color w:val="auto"/>
          <w:sz w:val="28"/>
          <w:szCs w:val="28"/>
          <w:highlight w:val="none"/>
          <w:lang w:val="en-US" w:eastAsia="zh-CN"/>
        </w:rPr>
        <w:t>30</w:t>
      </w:r>
      <w:r>
        <w:rPr>
          <w:rFonts w:hint="eastAsia" w:ascii="楷体_GB2312" w:hAnsi="楷体_GB2312" w:eastAsia="楷体_GB2312" w:cs="楷体_GB2312"/>
          <w:i w:val="0"/>
          <w:iCs/>
          <w:color w:val="auto"/>
          <w:sz w:val="28"/>
          <w:szCs w:val="28"/>
          <w:highlight w:val="none"/>
        </w:rPr>
        <w:t>%。</w:t>
      </w:r>
    </w:p>
    <w:p w14:paraId="025659A0">
      <w:pPr>
        <w:ind w:firstLine="560" w:firstLineChars="200"/>
        <w:jc w:val="left"/>
        <w:rPr>
          <w:rFonts w:hint="eastAsia" w:eastAsia="楷体_GB2312"/>
          <w:sz w:val="28"/>
          <w:szCs w:val="28"/>
          <w:highlight w:val="none"/>
        </w:rPr>
      </w:pPr>
      <w:r>
        <w:rPr>
          <w:rFonts w:hint="eastAsia" w:ascii="楷体_GB2312" w:hAnsi="楷体_GB2312" w:eastAsia="楷体_GB2312" w:cs="楷体_GB2312"/>
          <w:i w:val="0"/>
          <w:iCs/>
          <w:color w:val="auto"/>
          <w:sz w:val="28"/>
          <w:szCs w:val="28"/>
          <w:highlight w:val="none"/>
        </w:rPr>
        <w:t>项目实际支付总金额按采购成交总金额计算，项目支付计划按合同约定执行，对于满足合同约定支付条件的，采购人应当自收到发票后</w:t>
      </w:r>
      <w:r>
        <w:rPr>
          <w:rFonts w:hint="eastAsia" w:ascii="楷体_GB2312" w:hAnsi="楷体_GB2312" w:eastAsia="楷体_GB2312" w:cs="楷体_GB2312"/>
          <w:i w:val="0"/>
          <w:iCs/>
          <w:color w:val="auto"/>
          <w:sz w:val="28"/>
          <w:szCs w:val="28"/>
          <w:highlight w:val="none"/>
          <w:lang w:val="en-US" w:eastAsia="zh-CN"/>
        </w:rPr>
        <w:t>15</w:t>
      </w:r>
      <w:r>
        <w:rPr>
          <w:rFonts w:hint="eastAsia" w:ascii="楷体_GB2312" w:hAnsi="楷体_GB2312" w:eastAsia="楷体_GB2312" w:cs="楷体_GB2312"/>
          <w:i w:val="0"/>
          <w:iCs/>
          <w:color w:val="auto"/>
          <w:sz w:val="28"/>
          <w:szCs w:val="28"/>
          <w:highlight w:val="none"/>
        </w:rPr>
        <w:t>日内将资金支付到合同约定的中标人账户，不得以机构变动、人员更替、政策调整等为由延迟付款，不得将采购文件和合同中未规定的义务作为向中标人付款的条件。</w:t>
      </w:r>
      <w:r>
        <w:rPr>
          <w:rFonts w:hint="eastAsia" w:ascii="楷体_GB2312" w:hAnsi="楷体_GB2312" w:eastAsia="楷体_GB2312" w:cs="楷体_GB2312"/>
          <w:i w:val="0"/>
          <w:iCs/>
          <w:color w:val="auto"/>
          <w:sz w:val="28"/>
          <w:szCs w:val="28"/>
          <w:highlight w:val="none"/>
          <w:lang w:val="en-US" w:eastAsia="zh-CN"/>
        </w:rPr>
        <w:t>采购人</w:t>
      </w:r>
      <w:r>
        <w:rPr>
          <w:rFonts w:hint="eastAsia" w:eastAsia="楷体_GB2312"/>
          <w:sz w:val="28"/>
          <w:szCs w:val="28"/>
          <w:highlight w:val="none"/>
        </w:rPr>
        <w:t>支付时间以向相关财政部门提出支付申请时间为准。</w:t>
      </w:r>
    </w:p>
    <w:p w14:paraId="31A75E42">
      <w:pPr>
        <w:ind w:firstLine="560" w:firstLineChars="200"/>
        <w:jc w:val="left"/>
        <w:rPr>
          <w:rFonts w:ascii="Times New Roman" w:hAnsi="Times New Roman" w:eastAsia="楷体_GB2312" w:cs="Times New Roman"/>
          <w:sz w:val="28"/>
          <w:szCs w:val="28"/>
          <w:highlight w:val="none"/>
        </w:rPr>
      </w:pPr>
      <w:r>
        <w:rPr>
          <w:rFonts w:hint="default" w:ascii="Times New Roman" w:hAnsi="Times New Roman" w:eastAsia="楷体_GB2312" w:cs="Times New Roman"/>
          <w:sz w:val="28"/>
          <w:szCs w:val="28"/>
          <w:highlight w:val="none"/>
          <w:lang w:val="en-US" w:eastAsia="zh-CN"/>
        </w:rPr>
        <w:t>本项目为省级政务信息化项目，预算分2</w:t>
      </w:r>
      <w:r>
        <w:rPr>
          <w:rFonts w:hint="eastAsia" w:ascii="Times New Roman" w:hAnsi="Times New Roman" w:eastAsia="楷体_GB2312" w:cs="Times New Roman"/>
          <w:sz w:val="28"/>
          <w:szCs w:val="28"/>
          <w:highlight w:val="none"/>
          <w:lang w:val="en-US" w:eastAsia="zh-CN"/>
        </w:rPr>
        <w:t>个年度</w:t>
      </w:r>
      <w:r>
        <w:rPr>
          <w:rFonts w:hint="default" w:ascii="Times New Roman" w:hAnsi="Times New Roman" w:eastAsia="楷体_GB2312" w:cs="Times New Roman"/>
          <w:sz w:val="28"/>
          <w:szCs w:val="28"/>
          <w:highlight w:val="none"/>
          <w:lang w:val="en-US" w:eastAsia="zh-CN"/>
        </w:rPr>
        <w:t>安排。如因政府财政部门审查、财政支付管理流程及预算下达导致支付延期，支付期限相应顺延；如因政府财政部门审查、财政支付管理流程及预算下达导致预算核减，支付总金额相应核减至与预算金额下达一致的，采购人不承担违约的不利后果，中标人不得以此为由迟延履行或不履行合同义务。</w:t>
      </w:r>
    </w:p>
    <w:p w14:paraId="7D631B52">
      <w:pPr>
        <w:pStyle w:val="7"/>
        <w:rPr>
          <w:color w:val="auto"/>
          <w:highlight w:val="none"/>
        </w:rPr>
      </w:pPr>
      <w:r>
        <w:rPr>
          <w:rFonts w:hint="eastAsia"/>
          <w:color w:val="auto"/>
          <w:highlight w:val="none"/>
        </w:rPr>
        <w:t>评审标准</w:t>
      </w:r>
    </w:p>
    <w:p w14:paraId="07E4BBBD">
      <w:pPr>
        <w:ind w:firstLine="560" w:firstLineChars="200"/>
        <w:jc w:val="left"/>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本项目供应商评选，采用综合评分法，遵循公平、公正、科学和择优的原则，以项目采购需求文件和供应商响应文件为评审的基本依据。具体评审标准见下表：</w:t>
      </w:r>
    </w:p>
    <w:p w14:paraId="54947FF2">
      <w:pPr>
        <w:ind w:firstLine="560" w:firstLineChars="200"/>
        <w:jc w:val="left"/>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表一 资格性审查表：</w:t>
      </w:r>
    </w:p>
    <w:tbl>
      <w:tblPr>
        <w:tblStyle w:val="4"/>
        <w:tblW w:w="909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5"/>
        <w:gridCol w:w="2211"/>
        <w:gridCol w:w="6083"/>
      </w:tblGrid>
      <w:tr w14:paraId="128BE6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4" w:hRule="atLeast"/>
          <w:jc w:val="center"/>
        </w:trPr>
        <w:tc>
          <w:tcPr>
            <w:tcW w:w="805" w:type="dxa"/>
            <w:noWrap w:val="0"/>
            <w:vAlign w:val="center"/>
          </w:tcPr>
          <w:p w14:paraId="0D3E9686">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序号</w:t>
            </w:r>
          </w:p>
        </w:tc>
        <w:tc>
          <w:tcPr>
            <w:tcW w:w="8294" w:type="dxa"/>
            <w:gridSpan w:val="2"/>
            <w:noWrap w:val="0"/>
            <w:vAlign w:val="center"/>
          </w:tcPr>
          <w:p w14:paraId="73758022">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资格审查内容</w:t>
            </w:r>
          </w:p>
        </w:tc>
      </w:tr>
      <w:tr w14:paraId="445F7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13" w:hRule="atLeast"/>
          <w:jc w:val="center"/>
        </w:trPr>
        <w:tc>
          <w:tcPr>
            <w:tcW w:w="805" w:type="dxa"/>
            <w:noWrap w:val="0"/>
            <w:vAlign w:val="center"/>
          </w:tcPr>
          <w:p w14:paraId="5505F39A">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1</w:t>
            </w:r>
          </w:p>
        </w:tc>
        <w:tc>
          <w:tcPr>
            <w:tcW w:w="2211" w:type="dxa"/>
            <w:noWrap w:val="0"/>
            <w:vAlign w:val="center"/>
          </w:tcPr>
          <w:p w14:paraId="078CD099">
            <w:pPr>
              <w:spacing w:line="400" w:lineRule="exact"/>
              <w:jc w:val="center"/>
              <w:rPr>
                <w:rFonts w:hint="eastAsia" w:ascii="楷体" w:hAnsi="楷体" w:eastAsia="楷体" w:cs="楷体"/>
                <w:color w:val="auto"/>
                <w:highlight w:val="none"/>
              </w:rPr>
            </w:pPr>
            <w:r>
              <w:rPr>
                <w:rFonts w:hint="eastAsia" w:ascii="楷体" w:hAnsi="楷体" w:eastAsia="楷体" w:cs="楷体"/>
                <w:color w:val="auto"/>
                <w:szCs w:val="21"/>
                <w:highlight w:val="none"/>
              </w:rPr>
              <w:t>具有独立承担民事责任的能力</w:t>
            </w:r>
          </w:p>
        </w:tc>
        <w:tc>
          <w:tcPr>
            <w:tcW w:w="6083" w:type="dxa"/>
            <w:noWrap w:val="0"/>
            <w:vAlign w:val="center"/>
          </w:tcPr>
          <w:p w14:paraId="477D4403">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w:t>
            </w:r>
          </w:p>
        </w:tc>
      </w:tr>
      <w:tr w14:paraId="0A9BE7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14:paraId="6320BEE8">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2</w:t>
            </w:r>
          </w:p>
        </w:tc>
        <w:tc>
          <w:tcPr>
            <w:tcW w:w="2211" w:type="dxa"/>
            <w:noWrap w:val="0"/>
            <w:vAlign w:val="center"/>
          </w:tcPr>
          <w:p w14:paraId="5E21158C">
            <w:pPr>
              <w:spacing w:line="400" w:lineRule="exact"/>
              <w:jc w:val="center"/>
              <w:rPr>
                <w:rFonts w:hint="eastAsia" w:ascii="楷体" w:hAnsi="楷体" w:eastAsia="楷体" w:cs="楷体"/>
                <w:color w:val="auto"/>
                <w:highlight w:val="none"/>
              </w:rPr>
            </w:pPr>
            <w:r>
              <w:rPr>
                <w:rFonts w:hint="eastAsia" w:ascii="楷体" w:hAnsi="楷体" w:eastAsia="楷体" w:cs="楷体"/>
                <w:color w:val="auto"/>
                <w:szCs w:val="21"/>
                <w:highlight w:val="none"/>
              </w:rPr>
              <w:t>有依法缴纳税收和社会保障资金的良好记录</w:t>
            </w:r>
          </w:p>
        </w:tc>
        <w:tc>
          <w:tcPr>
            <w:tcW w:w="6083" w:type="dxa"/>
            <w:noWrap w:val="0"/>
            <w:vAlign w:val="center"/>
          </w:tcPr>
          <w:p w14:paraId="5707D4DC">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提供投标截止日前6个月内任意1个月依法缴纳税收和社会保障资金的相关材料。如依法免税或不需要缴纳社会保障资金的，提供相应证明材料。</w:t>
            </w:r>
          </w:p>
        </w:tc>
      </w:tr>
      <w:tr w14:paraId="26602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14:paraId="3319926B">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3</w:t>
            </w:r>
          </w:p>
        </w:tc>
        <w:tc>
          <w:tcPr>
            <w:tcW w:w="2211" w:type="dxa"/>
            <w:noWrap w:val="0"/>
            <w:vAlign w:val="center"/>
          </w:tcPr>
          <w:p w14:paraId="1B0CC843">
            <w:pPr>
              <w:spacing w:line="400" w:lineRule="exact"/>
              <w:jc w:val="center"/>
              <w:rPr>
                <w:rFonts w:hint="eastAsia" w:ascii="楷体" w:hAnsi="楷体" w:eastAsia="楷体" w:cs="楷体"/>
                <w:color w:val="auto"/>
                <w:highlight w:val="none"/>
              </w:rPr>
            </w:pPr>
            <w:r>
              <w:rPr>
                <w:rFonts w:hint="eastAsia" w:ascii="楷体" w:hAnsi="楷体" w:eastAsia="楷体" w:cs="楷体"/>
                <w:color w:val="auto"/>
                <w:szCs w:val="21"/>
                <w:highlight w:val="none"/>
              </w:rPr>
              <w:t>具有良好的商业信誉和健全的财务会计制度</w:t>
            </w:r>
          </w:p>
        </w:tc>
        <w:tc>
          <w:tcPr>
            <w:tcW w:w="6083" w:type="dxa"/>
            <w:noWrap w:val="0"/>
            <w:vAlign w:val="center"/>
          </w:tcPr>
          <w:p w14:paraId="1420EBAB">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提供2022年度财务状况报告或2023年至今任意1个月的财务状况报告复印件，或基本开户行出具的资信证明。</w:t>
            </w:r>
          </w:p>
        </w:tc>
      </w:tr>
      <w:tr w14:paraId="3771EE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14:paraId="56671D37">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4</w:t>
            </w:r>
          </w:p>
        </w:tc>
        <w:tc>
          <w:tcPr>
            <w:tcW w:w="2211" w:type="dxa"/>
            <w:noWrap w:val="0"/>
            <w:vAlign w:val="center"/>
          </w:tcPr>
          <w:p w14:paraId="645C25F5">
            <w:pPr>
              <w:spacing w:line="400" w:lineRule="exact"/>
              <w:jc w:val="center"/>
              <w:rPr>
                <w:rFonts w:hint="eastAsia" w:ascii="楷体" w:hAnsi="楷体" w:eastAsia="楷体" w:cs="楷体"/>
                <w:color w:val="auto"/>
                <w:highlight w:val="none"/>
              </w:rPr>
            </w:pPr>
            <w:r>
              <w:rPr>
                <w:rFonts w:hint="eastAsia" w:ascii="楷体" w:hAnsi="楷体" w:eastAsia="楷体" w:cs="楷体"/>
                <w:color w:val="auto"/>
                <w:szCs w:val="21"/>
                <w:highlight w:val="none"/>
              </w:rPr>
              <w:t>履行合同所必需的设备和专业技术能力</w:t>
            </w:r>
          </w:p>
        </w:tc>
        <w:tc>
          <w:tcPr>
            <w:tcW w:w="6083" w:type="dxa"/>
            <w:noWrap w:val="0"/>
            <w:vAlign w:val="center"/>
          </w:tcPr>
          <w:p w14:paraId="6DBD1A7C">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提供承诺书（格式自拟）</w:t>
            </w:r>
          </w:p>
        </w:tc>
      </w:tr>
      <w:tr w14:paraId="3D263E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14:paraId="4A935EB7">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5</w:t>
            </w:r>
          </w:p>
        </w:tc>
        <w:tc>
          <w:tcPr>
            <w:tcW w:w="2211" w:type="dxa"/>
            <w:noWrap w:val="0"/>
            <w:vAlign w:val="center"/>
          </w:tcPr>
          <w:p w14:paraId="693B1249">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参加采购活动前3年内，在经营活动中没有重大违法记录</w:t>
            </w:r>
          </w:p>
        </w:tc>
        <w:tc>
          <w:tcPr>
            <w:tcW w:w="6083" w:type="dxa"/>
            <w:noWrap w:val="0"/>
            <w:vAlign w:val="top"/>
          </w:tcPr>
          <w:p w14:paraId="3FBE13E7">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提供相关证明材料。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2A0AB8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33" w:hRule="atLeast"/>
          <w:jc w:val="center"/>
        </w:trPr>
        <w:tc>
          <w:tcPr>
            <w:tcW w:w="805" w:type="dxa"/>
            <w:noWrap w:val="0"/>
            <w:vAlign w:val="center"/>
          </w:tcPr>
          <w:p w14:paraId="422872EF">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6</w:t>
            </w:r>
          </w:p>
        </w:tc>
        <w:tc>
          <w:tcPr>
            <w:tcW w:w="2211" w:type="dxa"/>
            <w:noWrap w:val="0"/>
            <w:vAlign w:val="center"/>
          </w:tcPr>
          <w:p w14:paraId="0DAAE633">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信用记录</w:t>
            </w:r>
          </w:p>
        </w:tc>
        <w:tc>
          <w:tcPr>
            <w:tcW w:w="6083" w:type="dxa"/>
            <w:noWrap w:val="0"/>
            <w:vAlign w:val="top"/>
          </w:tcPr>
          <w:p w14:paraId="03CE89EC">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bl>
    <w:p w14:paraId="3FD729E3">
      <w:pPr>
        <w:spacing w:line="360" w:lineRule="auto"/>
        <w:ind w:firstLine="480"/>
        <w:rPr>
          <w:rFonts w:ascii="宋体" w:hAnsi="宋体" w:cs="宋体"/>
          <w:color w:val="auto"/>
          <w:highlight w:val="none"/>
        </w:rPr>
      </w:pPr>
      <w:r>
        <w:rPr>
          <w:rFonts w:hint="eastAsia" w:ascii="宋体" w:hAnsi="宋体" w:cs="宋体"/>
          <w:color w:val="auto"/>
          <w:highlight w:val="none"/>
        </w:rPr>
        <w:t>注：资格性审查未通过的，视为评审不通过。</w:t>
      </w:r>
    </w:p>
    <w:p w14:paraId="38AE1E1A">
      <w:pPr>
        <w:ind w:firstLine="560" w:firstLineChars="200"/>
        <w:jc w:val="left"/>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表二 具体评审标准表：</w:t>
      </w:r>
    </w:p>
    <w:tbl>
      <w:tblPr>
        <w:tblStyle w:val="4"/>
        <w:tblW w:w="90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2"/>
        <w:gridCol w:w="1780"/>
        <w:gridCol w:w="6169"/>
      </w:tblGrid>
      <w:tr w14:paraId="5DFFE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407" w:hRule="atLeast"/>
          <w:jc w:val="center"/>
        </w:trPr>
        <w:tc>
          <w:tcPr>
            <w:tcW w:w="1122" w:type="dxa"/>
            <w:noWrap w:val="0"/>
            <w:vAlign w:val="center"/>
          </w:tcPr>
          <w:p w14:paraId="362EBC64">
            <w:pPr>
              <w:spacing w:line="360" w:lineRule="auto"/>
              <w:jc w:val="center"/>
              <w:rPr>
                <w:rFonts w:hint="eastAsia" w:ascii="楷体" w:hAnsi="楷体" w:eastAsia="楷体" w:cs="楷体"/>
                <w:b/>
                <w:bCs/>
                <w:color w:val="auto"/>
                <w:highlight w:val="none"/>
              </w:rPr>
            </w:pPr>
            <w:r>
              <w:rPr>
                <w:rFonts w:hint="eastAsia" w:ascii="楷体" w:hAnsi="楷体" w:eastAsia="楷体" w:cs="楷体"/>
                <w:b/>
                <w:bCs/>
                <w:color w:val="auto"/>
                <w:highlight w:val="none"/>
              </w:rPr>
              <w:t>评审因素</w:t>
            </w:r>
          </w:p>
        </w:tc>
        <w:tc>
          <w:tcPr>
            <w:tcW w:w="7949" w:type="dxa"/>
            <w:gridSpan w:val="2"/>
            <w:noWrap w:val="0"/>
            <w:vAlign w:val="top"/>
          </w:tcPr>
          <w:p w14:paraId="0E667C2B">
            <w:pPr>
              <w:spacing w:line="360" w:lineRule="auto"/>
              <w:jc w:val="center"/>
              <w:rPr>
                <w:rFonts w:hint="eastAsia" w:ascii="楷体" w:hAnsi="楷体" w:eastAsia="楷体" w:cs="楷体"/>
                <w:b/>
                <w:bCs/>
                <w:color w:val="auto"/>
                <w:highlight w:val="none"/>
              </w:rPr>
            </w:pPr>
            <w:r>
              <w:rPr>
                <w:rFonts w:hint="eastAsia" w:ascii="楷体" w:hAnsi="楷体" w:eastAsia="楷体" w:cs="楷体"/>
                <w:b/>
                <w:bCs/>
                <w:color w:val="auto"/>
                <w:highlight w:val="none"/>
              </w:rPr>
              <w:t>评审标准</w:t>
            </w:r>
          </w:p>
        </w:tc>
      </w:tr>
      <w:tr w14:paraId="7270F5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14:paraId="46E8519A">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分值构成</w:t>
            </w:r>
          </w:p>
        </w:tc>
        <w:tc>
          <w:tcPr>
            <w:tcW w:w="7949" w:type="dxa"/>
            <w:gridSpan w:val="2"/>
            <w:noWrap w:val="0"/>
            <w:vAlign w:val="top"/>
          </w:tcPr>
          <w:p w14:paraId="1333A975">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商务部分35.0分</w:t>
            </w:r>
          </w:p>
          <w:p w14:paraId="52969F32">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技术部分55.0分</w:t>
            </w:r>
          </w:p>
          <w:p w14:paraId="38A8BC82">
            <w:pPr>
              <w:spacing w:line="360" w:lineRule="auto"/>
              <w:rPr>
                <w:rFonts w:hint="eastAsia" w:ascii="楷体" w:hAnsi="楷体" w:eastAsia="楷体" w:cs="楷体"/>
                <w:color w:val="auto"/>
                <w:highlight w:val="none"/>
              </w:rPr>
            </w:pPr>
            <w:r>
              <w:rPr>
                <w:rFonts w:hint="eastAsia" w:ascii="楷体" w:hAnsi="楷体" w:eastAsia="楷体" w:cs="楷体"/>
                <w:color w:val="auto"/>
                <w:highlight w:val="none"/>
              </w:rPr>
              <w:t>报价得分10.0分</w:t>
            </w:r>
          </w:p>
        </w:tc>
      </w:tr>
      <w:tr w14:paraId="689CB8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14:paraId="422E42F6">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技术部分</w:t>
            </w:r>
          </w:p>
        </w:tc>
        <w:tc>
          <w:tcPr>
            <w:tcW w:w="1780" w:type="dxa"/>
            <w:noWrap w:val="0"/>
            <w:vAlign w:val="center"/>
          </w:tcPr>
          <w:p w14:paraId="7802B69C">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对项目背景的理解与现状的分析（9.0分）</w:t>
            </w:r>
          </w:p>
        </w:tc>
        <w:tc>
          <w:tcPr>
            <w:tcW w:w="6169" w:type="dxa"/>
            <w:noWrap w:val="0"/>
            <w:vAlign w:val="top"/>
          </w:tcPr>
          <w:p w14:paraId="6FEC4C86">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根据供应商提供的对项目背景的理解与现状的分析进行评审，内容包括但不限于：①项目背景的理解；②现状的分析。涵盖上述所有内容且对上述各项内容描述全面、详细，得9分；涵盖上述所有内容且对上述各项内容描述较全面、较详细，得6分；涵盖上述所有内容但对上述各项内容描述不够全面、不够具体，得3分；不提供方案得0分。</w:t>
            </w:r>
          </w:p>
        </w:tc>
      </w:tr>
      <w:tr w14:paraId="038D7C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3793" w:hRule="atLeast"/>
          <w:jc w:val="center"/>
        </w:trPr>
        <w:tc>
          <w:tcPr>
            <w:tcW w:w="1122" w:type="dxa"/>
            <w:vMerge w:val="continue"/>
            <w:noWrap w:val="0"/>
            <w:vAlign w:val="center"/>
          </w:tcPr>
          <w:p w14:paraId="7FA3C1D4">
            <w:pPr>
              <w:spacing w:line="360" w:lineRule="auto"/>
              <w:jc w:val="center"/>
              <w:rPr>
                <w:rFonts w:hint="eastAsia" w:ascii="楷体" w:hAnsi="楷体" w:eastAsia="楷体" w:cs="楷体"/>
                <w:color w:val="auto"/>
                <w:highlight w:val="none"/>
              </w:rPr>
            </w:pPr>
          </w:p>
        </w:tc>
        <w:tc>
          <w:tcPr>
            <w:tcW w:w="1780" w:type="dxa"/>
            <w:noWrap w:val="0"/>
            <w:vAlign w:val="center"/>
          </w:tcPr>
          <w:p w14:paraId="7E1AF40C">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项目组织实施方案（10.0分）</w:t>
            </w:r>
          </w:p>
        </w:tc>
        <w:tc>
          <w:tcPr>
            <w:tcW w:w="6169" w:type="dxa"/>
            <w:noWrap w:val="0"/>
            <w:vAlign w:val="top"/>
          </w:tcPr>
          <w:p w14:paraId="189D1BD0">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对供应商提供的项目组织实施方案进行评审，内容包括但不限于：①内部组织管理方式及人员配置方案；②进度安排方案；③成果交付方案。涵盖上述所有内容且对上述各项内容描述全面、详细，可行性高，完全满足且优于项目需求的，得10分；涵盖上述所有内容且对上述各项内容描述较全面、较详细，可行性较高，完全满足项目需求的，得8分；涵盖上述所有内容且对上述各项内容描述基本全面、基本具体，可行性一般，基本满足项目需求的，得5分；涵盖上述所有内容但对上述各项内容描述不够全面、不够具体，可行性低，不能满足项目需求的，得3分；不提供方案得0分。</w:t>
            </w:r>
          </w:p>
        </w:tc>
      </w:tr>
      <w:tr w14:paraId="1D244E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14:paraId="178999F3">
            <w:pPr>
              <w:spacing w:line="360" w:lineRule="auto"/>
              <w:jc w:val="center"/>
              <w:rPr>
                <w:rFonts w:hint="eastAsia" w:ascii="楷体" w:hAnsi="楷体" w:eastAsia="楷体" w:cs="楷体"/>
                <w:color w:val="auto"/>
                <w:highlight w:val="none"/>
              </w:rPr>
            </w:pPr>
          </w:p>
        </w:tc>
        <w:tc>
          <w:tcPr>
            <w:tcW w:w="1780" w:type="dxa"/>
            <w:noWrap w:val="0"/>
            <w:vAlign w:val="center"/>
          </w:tcPr>
          <w:p w14:paraId="43D4D9A7">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项目</w:t>
            </w:r>
            <w:r>
              <w:rPr>
                <w:rFonts w:hint="eastAsia" w:ascii="楷体" w:hAnsi="楷体" w:eastAsia="楷体" w:cs="楷体"/>
                <w:color w:val="auto"/>
                <w:highlight w:val="none"/>
                <w:lang w:val="en-US" w:eastAsia="zh-CN"/>
              </w:rPr>
              <w:t>软件开发</w:t>
            </w:r>
            <w:r>
              <w:rPr>
                <w:rFonts w:hint="eastAsia" w:ascii="楷体" w:hAnsi="楷体" w:eastAsia="楷体" w:cs="楷体"/>
                <w:color w:val="auto"/>
                <w:highlight w:val="none"/>
              </w:rPr>
              <w:t>服务方案（</w:t>
            </w:r>
            <w:r>
              <w:rPr>
                <w:rFonts w:hint="eastAsia" w:ascii="楷体" w:hAnsi="楷体" w:eastAsia="楷体" w:cs="楷体"/>
                <w:color w:val="auto"/>
                <w:highlight w:val="none"/>
                <w:lang w:val="en-US" w:eastAsia="zh-CN"/>
              </w:rPr>
              <w:t>2</w:t>
            </w:r>
            <w:r>
              <w:rPr>
                <w:rFonts w:hint="eastAsia" w:ascii="楷体" w:hAnsi="楷体" w:eastAsia="楷体" w:cs="楷体"/>
                <w:color w:val="auto"/>
                <w:highlight w:val="none"/>
              </w:rPr>
              <w:t>0.0分）</w:t>
            </w:r>
          </w:p>
        </w:tc>
        <w:tc>
          <w:tcPr>
            <w:tcW w:w="6169" w:type="dxa"/>
            <w:noWrap w:val="0"/>
            <w:vAlign w:val="top"/>
          </w:tcPr>
          <w:p w14:paraId="139D6615">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对供应商提供的</w:t>
            </w:r>
            <w:r>
              <w:rPr>
                <w:rFonts w:hint="eastAsia" w:ascii="楷体" w:hAnsi="楷体" w:eastAsia="楷体" w:cs="楷体"/>
                <w:color w:val="auto"/>
                <w:highlight w:val="none"/>
                <w:lang w:val="en-US" w:eastAsia="zh-CN"/>
              </w:rPr>
              <w:t>软件开发</w:t>
            </w:r>
            <w:r>
              <w:rPr>
                <w:rFonts w:hint="eastAsia" w:ascii="楷体" w:hAnsi="楷体" w:eastAsia="楷体" w:cs="楷体"/>
                <w:color w:val="auto"/>
                <w:highlight w:val="none"/>
              </w:rPr>
              <w:t>服务方案进行评审，内容包括但不限于：</w:t>
            </w:r>
            <w:r>
              <w:rPr>
                <w:rFonts w:hint="eastAsia" w:ascii="楷体" w:hAnsi="楷体" w:eastAsia="楷体" w:cs="楷体"/>
                <w:color w:val="auto"/>
                <w:highlight w:val="none"/>
                <w:lang w:val="en-US" w:eastAsia="zh-CN"/>
              </w:rPr>
              <w:t>①商密改造；②粤政易移动办公应用</w:t>
            </w:r>
            <w:r>
              <w:rPr>
                <w:rFonts w:hint="eastAsia" w:ascii="楷体" w:hAnsi="楷体" w:eastAsia="楷体" w:cs="楷体"/>
                <w:color w:val="auto"/>
                <w:highlight w:val="none"/>
              </w:rPr>
              <w:t>。涵盖上述所有内容且对上述各项内容描述全面、详细，可行性高，完全满足且优于项目需求的，得20分；涵盖上述所有内容且对上述各项内容描述较全面、较详细，可行性较高，完全满足项目需求的，得14分；涵盖上述所有内容且对上述各项内容描述基本全面、基本具体，可行性一般，基本满足项目需求的，得10分；涵盖上述所有内容但对上述各项内容描述不够全面、不够具体，可行性低，不能满足项目需求的，得5分；不提供方案得0分。</w:t>
            </w:r>
          </w:p>
        </w:tc>
      </w:tr>
      <w:tr w14:paraId="116823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14:paraId="7F5C7033">
            <w:pPr>
              <w:spacing w:line="360" w:lineRule="auto"/>
              <w:jc w:val="center"/>
              <w:rPr>
                <w:rFonts w:hint="eastAsia" w:ascii="楷体" w:hAnsi="楷体" w:eastAsia="楷体" w:cs="楷体"/>
                <w:color w:val="auto"/>
                <w:highlight w:val="none"/>
              </w:rPr>
            </w:pPr>
          </w:p>
        </w:tc>
        <w:tc>
          <w:tcPr>
            <w:tcW w:w="1780" w:type="dxa"/>
            <w:noWrap w:val="0"/>
            <w:vAlign w:val="center"/>
          </w:tcPr>
          <w:p w14:paraId="356318FA">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服务质量管理方案（8.0分）</w:t>
            </w:r>
          </w:p>
        </w:tc>
        <w:tc>
          <w:tcPr>
            <w:tcW w:w="6169" w:type="dxa"/>
            <w:noWrap w:val="0"/>
            <w:vAlign w:val="top"/>
          </w:tcPr>
          <w:p w14:paraId="4F240914">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对供应商提供的服务质量管理方案进行评审，内容包括但不限于服务质量保证措施、问题处理计划及整改完善措施等内容。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14:paraId="7A4824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14:paraId="0814196A">
            <w:pPr>
              <w:spacing w:line="360" w:lineRule="auto"/>
              <w:jc w:val="center"/>
              <w:rPr>
                <w:rFonts w:hint="eastAsia" w:ascii="楷体" w:hAnsi="楷体" w:eastAsia="楷体" w:cs="楷体"/>
                <w:color w:val="auto"/>
                <w:highlight w:val="none"/>
              </w:rPr>
            </w:pPr>
          </w:p>
        </w:tc>
        <w:tc>
          <w:tcPr>
            <w:tcW w:w="1780" w:type="dxa"/>
            <w:noWrap w:val="0"/>
            <w:vAlign w:val="center"/>
          </w:tcPr>
          <w:p w14:paraId="17DF6471">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突发事件快速响应方案及措施</w:t>
            </w:r>
          </w:p>
          <w:p w14:paraId="37248384">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（8.0分）</w:t>
            </w:r>
          </w:p>
        </w:tc>
        <w:tc>
          <w:tcPr>
            <w:tcW w:w="6169" w:type="dxa"/>
            <w:noWrap w:val="0"/>
            <w:vAlign w:val="top"/>
          </w:tcPr>
          <w:p w14:paraId="666AD758">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对供应商提供的突发事件快速响应方案及措施进行评审，内容包括但不限于：①应急预案；②响应时间及人员调配方案；③处理措施。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14:paraId="2B1A6F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14:paraId="763D709B">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商务部分</w:t>
            </w:r>
          </w:p>
        </w:tc>
        <w:tc>
          <w:tcPr>
            <w:tcW w:w="1780" w:type="dxa"/>
            <w:noWrap w:val="0"/>
            <w:vAlign w:val="center"/>
          </w:tcPr>
          <w:p w14:paraId="1F7D0B0E">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单位资质（</w:t>
            </w:r>
            <w:r>
              <w:rPr>
                <w:rFonts w:hint="eastAsia" w:ascii="楷体" w:hAnsi="楷体" w:eastAsia="楷体" w:cs="楷体"/>
                <w:color w:val="auto"/>
                <w:highlight w:val="none"/>
                <w:lang w:val="en-US" w:eastAsia="zh-CN"/>
              </w:rPr>
              <w:t>9</w:t>
            </w:r>
            <w:r>
              <w:rPr>
                <w:rFonts w:hint="eastAsia" w:ascii="楷体" w:hAnsi="楷体" w:eastAsia="楷体" w:cs="楷体"/>
                <w:color w:val="auto"/>
                <w:highlight w:val="none"/>
              </w:rPr>
              <w:t>.0分）</w:t>
            </w:r>
          </w:p>
        </w:tc>
        <w:tc>
          <w:tcPr>
            <w:tcW w:w="6169" w:type="dxa"/>
            <w:noWrap w:val="0"/>
            <w:vAlign w:val="top"/>
          </w:tcPr>
          <w:p w14:paraId="2A9A6466">
            <w:pPr>
              <w:numPr>
                <w:ilvl w:val="0"/>
                <w:numId w:val="2"/>
              </w:num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具有有效期内的质量管理体系认证证书，得</w:t>
            </w:r>
            <w:r>
              <w:rPr>
                <w:rFonts w:hint="eastAsia" w:ascii="楷体" w:hAnsi="楷体" w:eastAsia="楷体" w:cs="楷体"/>
                <w:color w:val="auto"/>
                <w:highlight w:val="none"/>
                <w:lang w:val="en-US" w:eastAsia="zh-CN"/>
              </w:rPr>
              <w:t>3</w:t>
            </w:r>
            <w:r>
              <w:rPr>
                <w:rFonts w:hint="eastAsia" w:ascii="楷体" w:hAnsi="楷体" w:eastAsia="楷体" w:cs="楷体"/>
                <w:color w:val="auto"/>
                <w:highlight w:val="none"/>
              </w:rPr>
              <w:t>分；</w:t>
            </w:r>
          </w:p>
          <w:p w14:paraId="6B3042A1">
            <w:pPr>
              <w:adjustRightInd w:val="0"/>
              <w:snapToGrid w:val="0"/>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（2）</w:t>
            </w:r>
            <w:r>
              <w:rPr>
                <w:rFonts w:hint="eastAsia" w:ascii="楷体" w:hAnsi="楷体" w:eastAsia="楷体" w:cs="楷体"/>
                <w:color w:val="auto"/>
                <w:szCs w:val="21"/>
                <w:highlight w:val="none"/>
              </w:rPr>
              <w:t>具有国家版权局颁发的信息系统管理相关的计算机软件著作权登记证书，每一个软件著作权得1分，最高得</w:t>
            </w:r>
            <w:r>
              <w:rPr>
                <w:rFonts w:hint="eastAsia" w:ascii="楷体" w:hAnsi="楷体" w:eastAsia="楷体" w:cs="楷体"/>
                <w:color w:val="auto"/>
                <w:szCs w:val="21"/>
                <w:highlight w:val="none"/>
                <w:lang w:val="en-US" w:eastAsia="zh-CN"/>
              </w:rPr>
              <w:t>6</w:t>
            </w:r>
            <w:r>
              <w:rPr>
                <w:rFonts w:hint="eastAsia" w:ascii="楷体" w:hAnsi="楷体" w:eastAsia="楷体" w:cs="楷体"/>
                <w:color w:val="auto"/>
                <w:szCs w:val="21"/>
                <w:highlight w:val="none"/>
              </w:rPr>
              <w:t>分，无不得分。</w:t>
            </w:r>
          </w:p>
          <w:p w14:paraId="47CDA9EF">
            <w:pPr>
              <w:spacing w:line="360" w:lineRule="auto"/>
              <w:jc w:val="left"/>
              <w:rPr>
                <w:rFonts w:hint="eastAsia" w:ascii="楷体" w:hAnsi="楷体" w:eastAsia="楷体" w:cs="楷体"/>
                <w:color w:val="auto"/>
                <w:highlight w:val="none"/>
              </w:rPr>
            </w:pPr>
            <w:r>
              <w:rPr>
                <w:rFonts w:hint="eastAsia" w:ascii="楷体" w:hAnsi="楷体" w:eastAsia="楷体" w:cs="楷体"/>
                <w:color w:val="auto"/>
                <w:szCs w:val="21"/>
                <w:highlight w:val="none"/>
              </w:rPr>
              <w:t>【注:需提供相关证书复印件并加盖公章作为证明材料】</w:t>
            </w:r>
          </w:p>
        </w:tc>
      </w:tr>
      <w:tr w14:paraId="7229F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14:paraId="43059408">
            <w:pPr>
              <w:spacing w:line="360" w:lineRule="auto"/>
              <w:jc w:val="center"/>
              <w:rPr>
                <w:rFonts w:hint="eastAsia" w:ascii="楷体" w:hAnsi="楷体" w:eastAsia="楷体" w:cs="楷体"/>
                <w:color w:val="auto"/>
                <w:highlight w:val="none"/>
              </w:rPr>
            </w:pPr>
          </w:p>
        </w:tc>
        <w:tc>
          <w:tcPr>
            <w:tcW w:w="1780" w:type="dxa"/>
            <w:noWrap w:val="0"/>
            <w:vAlign w:val="center"/>
          </w:tcPr>
          <w:p w14:paraId="19454BFB">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同类业绩</w:t>
            </w:r>
          </w:p>
          <w:p w14:paraId="54D4AD6F">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（10.0分）</w:t>
            </w:r>
          </w:p>
        </w:tc>
        <w:tc>
          <w:tcPr>
            <w:tcW w:w="6169" w:type="dxa"/>
            <w:noWrap w:val="0"/>
            <w:vAlign w:val="top"/>
          </w:tcPr>
          <w:p w14:paraId="1D4931F6">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供应商自2020年1月1日至今（以业绩合同签订时间为准）承接过同类项目（</w:t>
            </w:r>
            <w:r>
              <w:rPr>
                <w:rFonts w:hint="eastAsia" w:ascii="楷体" w:hAnsi="楷体" w:eastAsia="楷体" w:cs="楷体"/>
                <w:color w:val="auto"/>
                <w:highlight w:val="none"/>
                <w:lang w:val="en-US" w:eastAsia="zh-CN"/>
              </w:rPr>
              <w:t>软件开发</w:t>
            </w:r>
            <w:r>
              <w:rPr>
                <w:rFonts w:hint="eastAsia" w:ascii="楷体" w:hAnsi="楷体" w:eastAsia="楷体" w:cs="楷体"/>
                <w:color w:val="auto"/>
                <w:highlight w:val="none"/>
              </w:rPr>
              <w:t>类项目）业绩：每提供一项业绩得2分，最高得10分。</w:t>
            </w:r>
          </w:p>
          <w:p w14:paraId="659824AE">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【注：须提供合同关键页（含签订合同双方的单位名称、合同项目名称、合同关键内容页、落款盖章页等）复印件，否则不得分。】</w:t>
            </w:r>
          </w:p>
        </w:tc>
      </w:tr>
      <w:tr w14:paraId="2FD41C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14:paraId="1BC381EC">
            <w:pPr>
              <w:spacing w:line="360" w:lineRule="auto"/>
              <w:jc w:val="center"/>
              <w:rPr>
                <w:rFonts w:hint="eastAsia" w:ascii="楷体" w:hAnsi="楷体" w:eastAsia="楷体" w:cs="楷体"/>
                <w:color w:val="auto"/>
                <w:highlight w:val="none"/>
              </w:rPr>
            </w:pPr>
          </w:p>
        </w:tc>
        <w:tc>
          <w:tcPr>
            <w:tcW w:w="1780" w:type="dxa"/>
            <w:noWrap w:val="0"/>
            <w:vAlign w:val="center"/>
          </w:tcPr>
          <w:p w14:paraId="05FE724C">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项目团队（16分）</w:t>
            </w:r>
          </w:p>
        </w:tc>
        <w:tc>
          <w:tcPr>
            <w:tcW w:w="6169" w:type="dxa"/>
            <w:noWrap w:val="0"/>
            <w:vAlign w:val="top"/>
          </w:tcPr>
          <w:p w14:paraId="563FFC55">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（1）项目经理，具有本科以上学历，具有信息技术类高级职称证书，或具备</w:t>
            </w:r>
            <w:r>
              <w:rPr>
                <w:rFonts w:hint="eastAsia" w:ascii="楷体" w:hAnsi="楷体" w:eastAsia="楷体" w:cs="楷体"/>
                <w:color w:val="auto"/>
                <w:highlight w:val="none"/>
                <w:lang w:val="en-US" w:eastAsia="zh-CN"/>
              </w:rPr>
              <w:t>10</w:t>
            </w:r>
            <w:r>
              <w:rPr>
                <w:rFonts w:hint="eastAsia" w:ascii="楷体" w:hAnsi="楷体" w:eastAsia="楷体" w:cs="楷体"/>
                <w:color w:val="auto"/>
                <w:highlight w:val="none"/>
              </w:rPr>
              <w:t>年及以上与本项目服务内容相关的工作经验和管理经验，得</w:t>
            </w:r>
            <w:r>
              <w:rPr>
                <w:rFonts w:hint="eastAsia" w:ascii="楷体" w:hAnsi="楷体" w:eastAsia="楷体" w:cs="楷体"/>
                <w:color w:val="auto"/>
                <w:highlight w:val="none"/>
                <w:lang w:val="en-US" w:eastAsia="zh-CN"/>
              </w:rPr>
              <w:t>6</w:t>
            </w:r>
            <w:r>
              <w:rPr>
                <w:rFonts w:hint="eastAsia" w:ascii="楷体" w:hAnsi="楷体" w:eastAsia="楷体" w:cs="楷体"/>
                <w:color w:val="auto"/>
                <w:highlight w:val="none"/>
              </w:rPr>
              <w:t>分；具备</w:t>
            </w:r>
            <w:r>
              <w:rPr>
                <w:rFonts w:hint="eastAsia" w:ascii="楷体" w:hAnsi="楷体" w:eastAsia="楷体" w:cs="楷体"/>
                <w:color w:val="auto"/>
                <w:highlight w:val="none"/>
                <w:lang w:val="en-US" w:eastAsia="zh-CN"/>
              </w:rPr>
              <w:t>7</w:t>
            </w:r>
            <w:r>
              <w:rPr>
                <w:rFonts w:hint="eastAsia" w:ascii="楷体" w:hAnsi="楷体" w:eastAsia="楷体" w:cs="楷体"/>
                <w:color w:val="auto"/>
                <w:highlight w:val="none"/>
              </w:rPr>
              <w:t>年~</w:t>
            </w:r>
            <w:r>
              <w:rPr>
                <w:rFonts w:hint="eastAsia" w:ascii="楷体" w:hAnsi="楷体" w:eastAsia="楷体" w:cs="楷体"/>
                <w:color w:val="auto"/>
                <w:highlight w:val="none"/>
                <w:lang w:val="en-US" w:eastAsia="zh-CN"/>
              </w:rPr>
              <w:t>9</w:t>
            </w:r>
            <w:r>
              <w:rPr>
                <w:rFonts w:hint="eastAsia" w:ascii="楷体" w:hAnsi="楷体" w:eastAsia="楷体" w:cs="楷体"/>
                <w:color w:val="auto"/>
                <w:highlight w:val="none"/>
              </w:rPr>
              <w:t>年与本项目服务内容相关的工作经验和管理经验，得</w:t>
            </w:r>
            <w:r>
              <w:rPr>
                <w:rFonts w:hint="eastAsia" w:ascii="楷体" w:hAnsi="楷体" w:eastAsia="楷体" w:cs="楷体"/>
                <w:color w:val="auto"/>
                <w:highlight w:val="none"/>
                <w:lang w:val="en-US" w:eastAsia="zh-CN"/>
              </w:rPr>
              <w:t>4</w:t>
            </w:r>
            <w:r>
              <w:rPr>
                <w:rFonts w:hint="eastAsia" w:ascii="楷体" w:hAnsi="楷体" w:eastAsia="楷体" w:cs="楷体"/>
                <w:color w:val="auto"/>
                <w:highlight w:val="none"/>
              </w:rPr>
              <w:t>分；具备</w:t>
            </w:r>
            <w:r>
              <w:rPr>
                <w:rFonts w:hint="eastAsia" w:ascii="楷体" w:hAnsi="楷体" w:eastAsia="楷体" w:cs="楷体"/>
                <w:color w:val="auto"/>
                <w:highlight w:val="none"/>
                <w:lang w:val="en-US" w:eastAsia="zh-CN"/>
              </w:rPr>
              <w:t>5</w:t>
            </w:r>
            <w:r>
              <w:rPr>
                <w:rFonts w:hint="eastAsia" w:ascii="楷体" w:hAnsi="楷体" w:eastAsia="楷体" w:cs="楷体"/>
                <w:color w:val="auto"/>
                <w:highlight w:val="none"/>
              </w:rPr>
              <w:t>年~</w:t>
            </w:r>
            <w:r>
              <w:rPr>
                <w:rFonts w:hint="eastAsia" w:ascii="楷体" w:hAnsi="楷体" w:eastAsia="楷体" w:cs="楷体"/>
                <w:color w:val="auto"/>
                <w:highlight w:val="none"/>
                <w:lang w:val="en-US" w:eastAsia="zh-CN"/>
              </w:rPr>
              <w:t>6</w:t>
            </w:r>
            <w:r>
              <w:rPr>
                <w:rFonts w:hint="eastAsia" w:ascii="楷体" w:hAnsi="楷体" w:eastAsia="楷体" w:cs="楷体"/>
                <w:color w:val="auto"/>
                <w:highlight w:val="none"/>
              </w:rPr>
              <w:t>年与本项目服务内容相关的工作经验和管理经验，得</w:t>
            </w:r>
            <w:r>
              <w:rPr>
                <w:rFonts w:hint="eastAsia" w:ascii="楷体" w:hAnsi="楷体" w:eastAsia="楷体" w:cs="楷体"/>
                <w:color w:val="auto"/>
                <w:highlight w:val="none"/>
                <w:lang w:val="en-US" w:eastAsia="zh-CN"/>
              </w:rPr>
              <w:t>3</w:t>
            </w:r>
            <w:r>
              <w:rPr>
                <w:rFonts w:hint="eastAsia" w:ascii="楷体" w:hAnsi="楷体" w:eastAsia="楷体" w:cs="楷体"/>
                <w:color w:val="auto"/>
                <w:highlight w:val="none"/>
              </w:rPr>
              <w:t>分；</w:t>
            </w:r>
            <w:r>
              <w:rPr>
                <w:rFonts w:hint="eastAsia" w:ascii="楷体" w:hAnsi="楷体" w:eastAsia="楷体" w:cs="楷体"/>
                <w:color w:val="auto"/>
                <w:highlight w:val="none"/>
                <w:lang w:val="en-US" w:eastAsia="zh-CN"/>
              </w:rPr>
              <w:t>本小项最高得分6分</w:t>
            </w:r>
            <w:r>
              <w:rPr>
                <w:rFonts w:hint="eastAsia" w:ascii="楷体" w:hAnsi="楷体" w:eastAsia="楷体" w:cs="楷体"/>
                <w:color w:val="auto"/>
                <w:highlight w:val="none"/>
              </w:rPr>
              <w:t>。</w:t>
            </w:r>
          </w:p>
          <w:p w14:paraId="7FC70CFF">
            <w:pPr>
              <w:spacing w:line="360" w:lineRule="auto"/>
              <w:jc w:val="left"/>
              <w:rPr>
                <w:rFonts w:hint="eastAsia" w:ascii="楷体" w:hAnsi="楷体" w:eastAsia="楷体" w:cs="楷体"/>
                <w:color w:val="auto"/>
                <w:highlight w:val="none"/>
                <w:lang w:val="en-US" w:eastAsia="zh-CN"/>
              </w:rPr>
            </w:pPr>
            <w:r>
              <w:rPr>
                <w:rFonts w:hint="eastAsia" w:ascii="楷体" w:hAnsi="楷体" w:eastAsia="楷体" w:cs="楷体"/>
                <w:color w:val="auto"/>
                <w:highlight w:val="none"/>
              </w:rPr>
              <w:t>（2）项目成员，具有相关信息技术类中级或以上技术职称，或具备5年及以上与本项目服务内容相关的工作经验和管理经验，每提供一人得2分，最高得10分；具备3年~4年与本项目服务内容相关的工作经验和管理经验，每提供一人得1</w:t>
            </w:r>
            <w:r>
              <w:rPr>
                <w:rFonts w:hint="eastAsia" w:ascii="楷体" w:hAnsi="楷体" w:eastAsia="楷体" w:cs="楷体"/>
                <w:color w:val="auto"/>
                <w:highlight w:val="none"/>
                <w:lang w:val="en-US" w:eastAsia="zh-CN"/>
              </w:rPr>
              <w:t>.5</w:t>
            </w:r>
            <w:r>
              <w:rPr>
                <w:rFonts w:hint="eastAsia" w:ascii="楷体" w:hAnsi="楷体" w:eastAsia="楷体" w:cs="楷体"/>
                <w:color w:val="auto"/>
                <w:highlight w:val="none"/>
              </w:rPr>
              <w:t>分，最高得</w:t>
            </w:r>
            <w:r>
              <w:rPr>
                <w:rFonts w:hint="eastAsia" w:ascii="楷体" w:hAnsi="楷体" w:eastAsia="楷体" w:cs="楷体"/>
                <w:color w:val="auto"/>
                <w:highlight w:val="none"/>
                <w:lang w:val="en-US" w:eastAsia="zh-CN"/>
              </w:rPr>
              <w:t>9</w:t>
            </w:r>
            <w:r>
              <w:rPr>
                <w:rFonts w:hint="eastAsia" w:ascii="楷体" w:hAnsi="楷体" w:eastAsia="楷体" w:cs="楷体"/>
                <w:color w:val="auto"/>
                <w:highlight w:val="none"/>
              </w:rPr>
              <w:t>分；具备1年~2年与本项目服务内容相关的工作经验和管理经验，每提供一人得1分，最高得</w:t>
            </w:r>
            <w:r>
              <w:rPr>
                <w:rFonts w:hint="eastAsia" w:ascii="楷体" w:hAnsi="楷体" w:eastAsia="楷体" w:cs="楷体"/>
                <w:color w:val="auto"/>
                <w:highlight w:val="none"/>
                <w:lang w:val="en-US" w:eastAsia="zh-CN"/>
              </w:rPr>
              <w:t>8</w:t>
            </w:r>
            <w:r>
              <w:rPr>
                <w:rFonts w:hint="eastAsia" w:ascii="楷体" w:hAnsi="楷体" w:eastAsia="楷体" w:cs="楷体"/>
                <w:color w:val="auto"/>
                <w:highlight w:val="none"/>
              </w:rPr>
              <w:t>分。</w:t>
            </w:r>
            <w:r>
              <w:rPr>
                <w:rFonts w:hint="eastAsia" w:ascii="楷体" w:hAnsi="楷体" w:eastAsia="楷体" w:cs="楷体"/>
                <w:color w:val="auto"/>
                <w:highlight w:val="none"/>
                <w:lang w:val="en-US" w:eastAsia="zh-CN"/>
              </w:rPr>
              <w:t>本小项最高得分10分。</w:t>
            </w:r>
          </w:p>
          <w:p w14:paraId="4E616615">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lang w:eastAsia="zh-CN"/>
              </w:rPr>
              <w:t>【</w:t>
            </w:r>
            <w:r>
              <w:rPr>
                <w:rFonts w:hint="eastAsia" w:ascii="楷体" w:hAnsi="楷体" w:eastAsia="楷体" w:cs="楷体"/>
                <w:color w:val="auto"/>
                <w:highlight w:val="none"/>
              </w:rPr>
              <w:t>注：</w:t>
            </w:r>
            <w:r>
              <w:rPr>
                <w:rFonts w:hint="eastAsia" w:ascii="楷体" w:hAnsi="楷体" w:eastAsia="楷体" w:cs="楷体"/>
                <w:color w:val="auto"/>
                <w:highlight w:val="none"/>
                <w:lang w:val="en-US" w:eastAsia="zh-CN"/>
              </w:rPr>
              <w:t>①</w:t>
            </w:r>
            <w:r>
              <w:rPr>
                <w:rFonts w:hint="eastAsia" w:ascii="楷体" w:hAnsi="楷体" w:eastAsia="楷体" w:cs="楷体"/>
                <w:color w:val="auto"/>
                <w:highlight w:val="none"/>
              </w:rPr>
              <w:t>提供人员的</w:t>
            </w:r>
            <w:r>
              <w:rPr>
                <w:rFonts w:hint="eastAsia" w:ascii="楷体" w:hAnsi="楷体" w:eastAsia="楷体" w:cs="楷体"/>
                <w:color w:val="auto"/>
                <w:highlight w:val="none"/>
                <w:lang w:val="en-US" w:eastAsia="zh-CN"/>
              </w:rPr>
              <w:t>相关职称</w:t>
            </w:r>
            <w:r>
              <w:rPr>
                <w:rFonts w:hint="eastAsia" w:ascii="楷体" w:hAnsi="楷体" w:eastAsia="楷体" w:cs="楷体"/>
                <w:color w:val="auto"/>
                <w:highlight w:val="none"/>
              </w:rPr>
              <w:t>证书复印件</w:t>
            </w:r>
            <w:r>
              <w:rPr>
                <w:rFonts w:hint="eastAsia" w:ascii="楷体" w:hAnsi="楷体" w:eastAsia="楷体" w:cs="楷体"/>
                <w:color w:val="auto"/>
                <w:highlight w:val="none"/>
                <w:lang w:eastAsia="zh-CN"/>
              </w:rPr>
              <w:t>；</w:t>
            </w:r>
            <w:r>
              <w:rPr>
                <w:rFonts w:hint="eastAsia" w:ascii="楷体" w:hAnsi="楷体" w:eastAsia="楷体" w:cs="楷体"/>
                <w:color w:val="auto"/>
                <w:highlight w:val="none"/>
                <w:lang w:val="en-US" w:eastAsia="zh-CN"/>
              </w:rPr>
              <w:t>②或</w:t>
            </w:r>
            <w:r>
              <w:rPr>
                <w:rFonts w:hint="eastAsia" w:ascii="楷体" w:hAnsi="楷体" w:eastAsia="楷体" w:cs="楷体"/>
                <w:color w:val="auto"/>
                <w:highlight w:val="none"/>
              </w:rPr>
              <w:t>提供人员</w:t>
            </w:r>
            <w:r>
              <w:rPr>
                <w:rFonts w:hint="eastAsia" w:ascii="楷体" w:hAnsi="楷体" w:eastAsia="楷体" w:cs="楷体"/>
                <w:color w:val="auto"/>
                <w:highlight w:val="none"/>
                <w:lang w:val="en-US" w:eastAsia="zh-CN"/>
              </w:rPr>
              <w:t>相关</w:t>
            </w:r>
            <w:r>
              <w:rPr>
                <w:rFonts w:hint="eastAsia" w:ascii="楷体" w:hAnsi="楷体" w:eastAsia="楷体" w:cs="楷体"/>
                <w:color w:val="auto"/>
                <w:highlight w:val="none"/>
              </w:rPr>
              <w:t>的工作经验</w:t>
            </w:r>
            <w:r>
              <w:rPr>
                <w:rFonts w:hint="eastAsia" w:ascii="楷体" w:hAnsi="楷体" w:eastAsia="楷体" w:cs="楷体"/>
                <w:color w:val="auto"/>
                <w:highlight w:val="none"/>
                <w:lang w:val="en-US" w:eastAsia="zh-CN"/>
              </w:rPr>
              <w:t>和项目管理经验，经验证明须提供人员履历表（含与</w:t>
            </w:r>
            <w:r>
              <w:rPr>
                <w:rFonts w:hint="eastAsia" w:ascii="楷体" w:hAnsi="楷体" w:eastAsia="楷体" w:cs="楷体"/>
                <w:color w:val="auto"/>
                <w:highlight w:val="none"/>
              </w:rPr>
              <w:t>本项目服务内容相关</w:t>
            </w:r>
            <w:r>
              <w:rPr>
                <w:rFonts w:hint="eastAsia" w:ascii="楷体" w:hAnsi="楷体" w:eastAsia="楷体" w:cs="楷体"/>
                <w:color w:val="auto"/>
                <w:highlight w:val="none"/>
                <w:lang w:val="en-US" w:eastAsia="zh-CN"/>
              </w:rPr>
              <w:t>工作经验和项目管理经验信息），同时须提供满足工作经验年限要求的缴纳社保证明文件，不同企业的工作经验年限可累计</w:t>
            </w:r>
            <w:r>
              <w:rPr>
                <w:rFonts w:hint="eastAsia" w:ascii="楷体" w:hAnsi="楷体" w:eastAsia="楷体" w:cs="楷体"/>
                <w:color w:val="auto"/>
                <w:highlight w:val="none"/>
                <w:lang w:eastAsia="zh-CN"/>
              </w:rPr>
              <w:t>】</w:t>
            </w:r>
          </w:p>
        </w:tc>
      </w:tr>
      <w:tr w14:paraId="6775F8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14:paraId="14E03EEA">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投标报价</w:t>
            </w:r>
          </w:p>
        </w:tc>
        <w:tc>
          <w:tcPr>
            <w:tcW w:w="1780" w:type="dxa"/>
            <w:noWrap w:val="0"/>
            <w:vAlign w:val="center"/>
          </w:tcPr>
          <w:p w14:paraId="6C1F9D7B">
            <w:pPr>
              <w:spacing w:line="360" w:lineRule="auto"/>
              <w:jc w:val="center"/>
              <w:rPr>
                <w:rFonts w:hint="eastAsia" w:ascii="楷体" w:hAnsi="楷体" w:eastAsia="楷体" w:cs="楷体"/>
                <w:color w:val="auto"/>
                <w:highlight w:val="none"/>
              </w:rPr>
            </w:pPr>
            <w:r>
              <w:rPr>
                <w:rFonts w:hint="eastAsia" w:ascii="楷体" w:hAnsi="楷体" w:eastAsia="楷体" w:cs="楷体"/>
                <w:color w:val="auto"/>
                <w:highlight w:val="none"/>
              </w:rPr>
              <w:t>投标报价得分（10.0分）</w:t>
            </w:r>
          </w:p>
        </w:tc>
        <w:tc>
          <w:tcPr>
            <w:tcW w:w="6169" w:type="dxa"/>
            <w:noWrap w:val="0"/>
            <w:vAlign w:val="top"/>
          </w:tcPr>
          <w:p w14:paraId="1B87EC76">
            <w:pPr>
              <w:spacing w:line="360" w:lineRule="auto"/>
              <w:jc w:val="left"/>
              <w:rPr>
                <w:rFonts w:hint="eastAsia" w:ascii="楷体" w:hAnsi="楷体" w:eastAsia="楷体" w:cs="楷体"/>
                <w:color w:val="auto"/>
                <w:highlight w:val="none"/>
              </w:rPr>
            </w:pPr>
            <w:r>
              <w:rPr>
                <w:rFonts w:hint="eastAsia" w:ascii="楷体" w:hAnsi="楷体" w:eastAsia="楷体" w:cs="楷体"/>
                <w:color w:val="auto"/>
                <w:highlight w:val="none"/>
              </w:rPr>
              <w:t>价格得分＝（评标基准价/评标价）×价格分值（注：满足采购文件要求且评标价最低的为评标基准价。）</w:t>
            </w:r>
          </w:p>
        </w:tc>
      </w:tr>
    </w:tbl>
    <w:p w14:paraId="163B396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lvlText w:val="%1.%2.%3.%4."/>
      <w:lvlJc w:val="left"/>
      <w:pPr>
        <w:ind w:left="851" w:hanging="851"/>
      </w:pPr>
      <w:rPr>
        <w:rFonts w:hint="eastAsia"/>
        <w:b w:val="0"/>
        <w:bCs/>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506C092F"/>
    <w:multiLevelType w:val="multilevel"/>
    <w:tmpl w:val="506C092F"/>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9FF63CB"/>
    <w:rsid w:val="0C4E5FB8"/>
    <w:rsid w:val="0CC506C3"/>
    <w:rsid w:val="16126872"/>
    <w:rsid w:val="1FBB6B5F"/>
    <w:rsid w:val="24D446E0"/>
    <w:rsid w:val="27393621"/>
    <w:rsid w:val="2CE74C51"/>
    <w:rsid w:val="40466DA3"/>
    <w:rsid w:val="42254AB8"/>
    <w:rsid w:val="44F27B47"/>
    <w:rsid w:val="56F6212C"/>
    <w:rsid w:val="5C6D77C6"/>
    <w:rsid w:val="68FD1BBF"/>
    <w:rsid w:val="6E530CFA"/>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kern w:val="0"/>
      <w:sz w:val="18"/>
      <w:szCs w:val="18"/>
    </w:rPr>
  </w:style>
  <w:style w:type="character" w:styleId="6">
    <w:name w:val="page number"/>
    <w:uiPriority w:val="0"/>
  </w:style>
  <w:style w:type="paragraph" w:customStyle="1" w:styleId="7">
    <w:name w:val="一级标题"/>
    <w:basedOn w:val="1"/>
    <w:qFormat/>
    <w:uiPriority w:val="0"/>
    <w:pPr>
      <w:numPr>
        <w:ilvl w:val="0"/>
        <w:numId w:val="1"/>
      </w:numPr>
      <w:jc w:val="left"/>
      <w:outlineLvl w:val="0"/>
    </w:pPr>
    <w:rPr>
      <w:rFonts w:ascii="黑体" w:hAnsi="宋体" w:eastAsia="黑体"/>
      <w:sz w:val="30"/>
      <w:szCs w:val="30"/>
    </w:rPr>
  </w:style>
  <w:style w:type="paragraph" w:customStyle="1" w:styleId="8">
    <w:name w:val="二级标题"/>
    <w:basedOn w:val="1"/>
    <w:qFormat/>
    <w:uiPriority w:val="0"/>
    <w:pPr>
      <w:numPr>
        <w:ilvl w:val="1"/>
        <w:numId w:val="1"/>
      </w:numPr>
      <w:jc w:val="left"/>
      <w:outlineLvl w:val="1"/>
    </w:pPr>
    <w:rPr>
      <w:rFonts w:ascii="楷体_GB2312" w:hAnsi="华文楷体" w:eastAsia="楷体_GB2312"/>
      <w:bCs/>
      <w:sz w:val="28"/>
      <w:szCs w:val="28"/>
    </w:rPr>
  </w:style>
  <w:style w:type="paragraph" w:customStyle="1" w:styleId="9">
    <w:name w:val="三级标题"/>
    <w:basedOn w:val="1"/>
    <w:qFormat/>
    <w:uiPriority w:val="0"/>
    <w:pPr>
      <w:numPr>
        <w:ilvl w:val="2"/>
        <w:numId w:val="1"/>
      </w:numPr>
      <w:jc w:val="left"/>
      <w:outlineLvl w:val="2"/>
    </w:pPr>
    <w:rPr>
      <w:rFonts w:ascii="仿宋_GB2312" w:hAnsi="仿宋" w:eastAsia="仿宋_GB2312"/>
      <w:b/>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2024-10-28T03:10:19Z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C42FD10F82C64A8FB1B5285086539BC8_12</vt:lpwstr>
  </property>
</Properties>
</file>