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27992">
      <w:pPr>
        <w:spacing w:line="360" w:lineRule="auto"/>
        <w:rPr>
          <w:rFonts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 w14:paraId="41AE108A">
      <w:pPr>
        <w:pStyle w:val="15"/>
        <w:shd w:val="clear" w:color="auto" w:fill="FFFFFF"/>
        <w:spacing w:before="0" w:beforeAutospacing="0" w:after="150" w:afterAutospacing="0"/>
        <w:ind w:firstLine="562"/>
        <w:jc w:val="center"/>
        <w:rPr>
          <w:rFonts w:hint="eastAsia" w:ascii="仿宋" w:hAnsi="仿宋" w:eastAsia="仿宋" w:cstheme="minorBidi"/>
          <w:b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2025年度网络安全监测及重保值守服务项目</w:t>
      </w:r>
    </w:p>
    <w:p w14:paraId="5811FAA2">
      <w:pPr>
        <w:pStyle w:val="15"/>
        <w:shd w:val="clear" w:color="auto" w:fill="FFFFFF"/>
        <w:spacing w:before="0" w:beforeAutospacing="0" w:after="150" w:afterAutospacing="0"/>
        <w:ind w:firstLine="562"/>
        <w:jc w:val="center"/>
        <w:rPr>
          <w:rFonts w:hint="eastAsia" w:ascii="仿宋" w:hAnsi="仿宋" w:eastAsia="仿宋" w:cstheme="minorBidi"/>
          <w:b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采购需求书</w:t>
      </w:r>
    </w:p>
    <w:p w14:paraId="72588C1E">
      <w:pPr>
        <w:rPr>
          <w:rFonts w:ascii="仿宋" w:hAnsi="仿宋" w:eastAsia="仿宋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4F2B6BCF">
      <w:pPr>
        <w:pStyle w:val="3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采购项目内容</w:t>
      </w:r>
    </w:p>
    <w:p w14:paraId="1A0F266B">
      <w:pPr>
        <w:pStyle w:val="15"/>
        <w:shd w:val="clear" w:color="auto" w:fill="FFFFFF"/>
        <w:spacing w:before="0" w:beforeAutospacing="0" w:after="150" w:afterAutospacing="0"/>
        <w:ind w:firstLine="562"/>
        <w:rPr>
          <w:rFonts w:hint="eastAsia" w:ascii="仿宋" w:hAnsi="仿宋" w:eastAsia="仿宋" w:cs="宋体"/>
          <w:b w:val="0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 w:val="0"/>
          <w:bCs/>
          <w:color w:val="000000" w:themeColor="text1"/>
          <w:kern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2025年度网络安全监测及重保值守服务项目</w:t>
      </w:r>
    </w:p>
    <w:p w14:paraId="19853A7D">
      <w:pPr>
        <w:pStyle w:val="3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采购项目需求（包括种类、数量、质量）</w:t>
      </w:r>
    </w:p>
    <w:p w14:paraId="509A07DE">
      <w:pPr>
        <w:pStyle w:val="34"/>
        <w:numPr>
          <w:ilvl w:val="0"/>
          <w:numId w:val="6"/>
        </w:numPr>
        <w:spacing w:line="360" w:lineRule="auto"/>
        <w:ind w:firstLineChars="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服务范围</w:t>
      </w:r>
    </w:p>
    <w:p w14:paraId="21912AA9">
      <w:pPr>
        <w:spacing w:line="360" w:lineRule="auto"/>
        <w:ind w:firstLine="560" w:firstLineChars="200"/>
        <w:rPr>
          <w:rFonts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省科技厅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所属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信息系统</w:t>
      </w:r>
      <w:r>
        <w:rPr>
          <w:rFonts w:hint="eastAsia" w:ascii="仿宋" w:hAnsi="仿宋" w:eastAsia="仿宋" w:cs="宋体"/>
          <w:b w:val="0"/>
          <w:bCs/>
          <w:color w:val="000000" w:themeColor="text1"/>
          <w:kern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网络安全监测及重保值守服务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37A7AF16">
      <w:pPr>
        <w:pStyle w:val="34"/>
        <w:numPr>
          <w:ilvl w:val="0"/>
          <w:numId w:val="6"/>
        </w:numPr>
        <w:spacing w:line="360" w:lineRule="auto"/>
        <w:ind w:firstLineChars="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</w:t>
      </w:r>
    </w:p>
    <w:p w14:paraId="7D064433">
      <w:pPr>
        <w:spacing w:line="360" w:lineRule="auto"/>
        <w:ind w:firstLine="560" w:firstLineChars="200"/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省科技厅安全态势感知平台和安全专家团队有效协同的“人机共智”模式，对省科技厅约90个IP资产提供1年的7*24小时持续在线监测服务。通过云端安全能力进行云端检测，7*24小时持续性开展网络安全保障工作，构建持续（7*24小时）、主动、闭环的安全托管体系，帮助省科技厅实现风险可控、能力提升、效果可视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。</w:t>
      </w:r>
    </w:p>
    <w:p w14:paraId="03A8FEBC">
      <w:pPr>
        <w:spacing w:line="360" w:lineRule="auto"/>
        <w:ind w:firstLine="560" w:firstLineChars="200"/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省科技厅在重大节假日和重大活动前，提前做好各类应急防范措施，保障期间提供现场人员值守，对可能发现的安全事件进行监测处置，积极做好安全保障支撑工作，有效应对重大节假日和重大活动的网络安全威胁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项目周期内进行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不少于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3次安全重保服务，根据实际需求，在</w:t>
      </w:r>
      <w:r>
        <w:rPr>
          <w:rFonts w:hint="eastAsia" w:ascii="仿宋" w:hAnsi="仿宋" w:eastAsia="仿宋" w:cs="黑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粤盾及</w:t>
      </w:r>
      <w:r>
        <w:rPr>
          <w:rFonts w:hint="eastAsia" w:ascii="仿宋" w:hAnsi="仿宋" w:eastAsia="仿宋" w:cs="黑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国家、省规定的其他</w:t>
      </w:r>
      <w:r>
        <w:rPr>
          <w:rFonts w:hint="eastAsia" w:ascii="仿宋" w:hAnsi="仿宋" w:eastAsia="仿宋" w:cs="黑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重大活动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期</w:t>
      </w:r>
      <w:r>
        <w:rPr>
          <w:rFonts w:hint="eastAsia" w:ascii="仿宋" w:hAnsi="仿宋" w:eastAsia="仿宋" w:cs="黑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间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提供安全专家重保服务，并且在</w:t>
      </w:r>
      <w:r>
        <w:rPr>
          <w:rFonts w:hint="eastAsia" w:ascii="仿宋" w:hAnsi="仿宋" w:eastAsia="仿宋" w:cs="黑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粤盾及</w:t>
      </w:r>
      <w:r>
        <w:rPr>
          <w:rFonts w:hint="eastAsia" w:ascii="仿宋" w:hAnsi="仿宋" w:eastAsia="仿宋" w:cs="黑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国家、省规定的其他</w:t>
      </w:r>
      <w:r>
        <w:rPr>
          <w:rFonts w:hint="eastAsia" w:ascii="仿宋" w:hAnsi="仿宋" w:eastAsia="仿宋" w:cs="黑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重大活动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期间，提供7*24小时驻场保障服务。通过现场值守、应急响应、突发事件处理等方式，为省科技厅提供重大事件期间重要信息系统安全技术服务，确保在重大期间能够及时应对各类信息安全突发事件，保障网络与信息系统安全稳定运行，做好重要时期的信息安全保障工作。</w:t>
      </w:r>
    </w:p>
    <w:p w14:paraId="4747B91D">
      <w:pPr>
        <w:pStyle w:val="34"/>
        <w:numPr>
          <w:ilvl w:val="0"/>
          <w:numId w:val="6"/>
        </w:numPr>
        <w:spacing w:line="360" w:lineRule="auto"/>
        <w:ind w:firstLineChars="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服务内容</w:t>
      </w:r>
    </w:p>
    <w:p w14:paraId="6F838AED">
      <w:pPr>
        <w:spacing w:line="360" w:lineRule="auto"/>
        <w:ind w:left="562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="仿宋" w:hAnsi="仿宋" w:eastAsia="仿宋" w:cs="黑体"/>
          <w:b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安全托管监测服务</w:t>
      </w:r>
    </w:p>
    <w:p w14:paraId="16457958">
      <w:pPr>
        <w:pStyle w:val="45"/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资产识别与梳理：在省科技厅授权和监督下，借助安全工具对用户资产进行全面发现和深度识别，并在后续服务过程中触发资产变更等相关服务流程，确保资产信息的准确性和全面性。结合安全工具发现的资产信息，首次进行服务范围内资产的全面梳理（梳理的信息包含支撑业务系统运转的操作系统、数据库、中间件、应用系统的版本，类型，IP地址；应用开放协议和端口；应用系统管理方式、资产的重要性以及网络拓扑），并将信息录入到安全运营平台中进行管理；当资产发生变更时，安全专家对变更信息进行确认与更新。</w:t>
      </w:r>
    </w:p>
    <w:p w14:paraId="61ACFB45">
      <w:pPr>
        <w:pStyle w:val="45"/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安全现状评估：包含脆弱性、病毒类事件、攻击行为、失陷类事件等安全现状的评估。实现信息化资产不同应用弱口令猜解检测，如：Mssql、Mysql、Oracle、smtp、VNC、ftp、telnet、ssh、tomcat等。</w:t>
      </w:r>
    </w:p>
    <w:p w14:paraId="19B53BAF">
      <w:pPr>
        <w:pStyle w:val="45"/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在安全运营过程中，对各种攻击事件，提供专业溯源服务，提供攻击类安全事件的处置建议。</w:t>
      </w:r>
    </w:p>
    <w:p w14:paraId="0CFE424E">
      <w:pPr>
        <w:pStyle w:val="45"/>
        <w:rPr>
          <w:rFonts w:hint="eastAsia" w:ascii="仿宋" w:hAnsi="仿宋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（2）安全重保值守服务</w:t>
      </w:r>
    </w:p>
    <w:p w14:paraId="2BD26297">
      <w:pPr>
        <w:pStyle w:val="45"/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事前检查与整改阶段：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互联网及政务外网暴露资产自查通过IP资产核查确认暴露在互联网及政务外网资产的主机应用与网站，避免出现未知的具有安全隐患的资产暴露在互联网及政务外网上。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隐患排查通过系统扫描、Web扫描等方法协助企业排查网站及应用存在的漏洞隐患，并提供漏洞验证、修复建议、二次复测能力协助整改。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内容检查通过对网站/系统页面的内容进行内容检查，重点核查包括黄赌毒与非法广告、敏感内容、挂马页面、黑链等。</w:t>
      </w:r>
    </w:p>
    <w:p w14:paraId="42DF5FED">
      <w:pPr>
        <w:pStyle w:val="45"/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事中预警与监控阶段：对重大安全事件进行预警与通告、对全站核心页面的进行完整性检查、对网站可用性进行监测。</w:t>
      </w:r>
    </w:p>
    <w:p w14:paraId="46DA877D">
      <w:pPr>
        <w:pStyle w:val="45"/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事后总结与报告阶段：对防护期间发现的问题及应对方案做细致深入的总结，同时给出有针对性的整改措施。</w:t>
      </w:r>
    </w:p>
    <w:p w14:paraId="7A659BB4">
      <w:pPr>
        <w:pStyle w:val="45"/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17FF0625">
      <w:pPr>
        <w:pStyle w:val="3"/>
        <w:spacing w:line="360" w:lineRule="auto"/>
        <w:rPr>
          <w:rFonts w:ascii="仿宋" w:hAnsi="仿宋" w:eastAsia="仿宋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</w:rPr>
        <w:t>采购项目服务期限</w:t>
      </w:r>
    </w:p>
    <w:p w14:paraId="4675D4B8">
      <w:pPr>
        <w:ind w:firstLine="560" w:firstLineChars="200"/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2025年6月1日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至202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黑体"/>
          <w:b w:val="0"/>
          <w:bCs/>
          <w:color w:val="000000" w:themeColor="text1"/>
          <w:kern w:val="2"/>
          <w:sz w:val="28"/>
          <w:szCs w:val="28"/>
          <w:lang w:val="en-GB" w:eastAsia="zh-CN" w:bidi="ar-SA"/>
          <w14:textFill>
            <w14:solidFill>
              <w14:schemeClr w14:val="tx1"/>
            </w14:solidFill>
          </w14:textFill>
        </w:rPr>
        <w:t>1日</w:t>
      </w:r>
    </w:p>
    <w:p w14:paraId="516EF2BD">
      <w:pPr>
        <w:pStyle w:val="3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采购项目验收要求</w:t>
      </w:r>
    </w:p>
    <w:p w14:paraId="7D0538D1">
      <w:pPr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供应商按要求完成采购服务内容后，提供需求描述中所要求的报告作为交付成果。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验收报告应包含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“粤盾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-2025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”攻防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演练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靶标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系统安全检查效果作为项目验收考核内容，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尾款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约为合同金额的10%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将与“粤盾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-2025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”攻防演练前对靶标系统进行安全渗透检测的效果直接挂钩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甲方有权根据“粤盾-2025”攻防演练中失效防护情况扣减尾款，如系统漏洞不属于渗透测试检验范围则与乙方无关。</w:t>
      </w:r>
    </w:p>
    <w:p w14:paraId="4F089996">
      <w:pPr>
        <w:rPr>
          <w:rFonts w:hint="eastAsia"/>
        </w:rPr>
      </w:pPr>
    </w:p>
    <w:p w14:paraId="43B7337A">
      <w:pPr>
        <w:pStyle w:val="3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供应商要求</w:t>
      </w:r>
    </w:p>
    <w:p w14:paraId="2174485D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6F251030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2.具有独立法人资格。</w:t>
      </w:r>
    </w:p>
    <w:p w14:paraId="62486889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3.具有</w:t>
      </w:r>
      <w:r>
        <w:rPr>
          <w:rFonts w:ascii="仿宋" w:hAnsi="仿宋" w:eastAsia="仿宋"/>
          <w:sz w:val="28"/>
          <w:szCs w:val="28"/>
        </w:rPr>
        <w:t>信息安全服务资质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5D8989E6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4.本项目不接受联合体投标。</w:t>
      </w:r>
    </w:p>
    <w:p w14:paraId="73E00F4F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5.本项目不举行集中答疑。</w:t>
      </w:r>
    </w:p>
    <w:p w14:paraId="73ECBE3B">
      <w:pPr>
        <w:pStyle w:val="4"/>
        <w:numPr>
          <w:ilvl w:val="1"/>
          <w:numId w:val="0"/>
        </w:numPr>
        <w:rPr>
          <w:rFonts w:hint="eastAsia" w:ascii="Arial" w:hAnsi="Arial" w:eastAsia="宋体" w:cstheme="minorBidi"/>
          <w:b/>
          <w:bCs w:val="0"/>
          <w:color w:val="000000"/>
          <w:szCs w:val="24"/>
          <w:lang w:bidi="ar"/>
        </w:rPr>
      </w:pPr>
      <w:r>
        <w:rPr>
          <w:rFonts w:hint="eastAsia" w:ascii="Arial" w:hAnsi="Arial" w:eastAsia="宋体" w:cstheme="minorBidi"/>
          <w:b/>
          <w:bCs w:val="0"/>
          <w:color w:val="000000"/>
          <w:szCs w:val="24"/>
          <w:lang w:val="en-US" w:eastAsia="zh-CN" w:bidi="ar"/>
        </w:rPr>
        <w:t>六、</w:t>
      </w:r>
      <w:r>
        <w:rPr>
          <w:rFonts w:hint="default" w:ascii="Arial" w:hAnsi="Arial" w:eastAsia="宋体" w:cstheme="minorBidi"/>
          <w:b/>
          <w:bCs w:val="0"/>
          <w:color w:val="000000"/>
          <w:szCs w:val="24"/>
          <w:lang w:val="en-US" w:eastAsia="zh-CN" w:bidi="ar"/>
        </w:rPr>
        <w:t>评分</w:t>
      </w:r>
      <w:r>
        <w:rPr>
          <w:rFonts w:hint="default" w:ascii="Arial" w:hAnsi="Arial" w:eastAsia="宋体" w:cstheme="minorBidi"/>
          <w:b/>
          <w:bCs w:val="0"/>
          <w:szCs w:val="24"/>
          <w:lang w:val="en-US" w:eastAsia="zh-CN" w:bidi="ar"/>
        </w:rPr>
        <w:t>方式</w:t>
      </w:r>
    </w:p>
    <w:p w14:paraId="65DFC555">
      <w:pPr>
        <w:ind w:firstLine="56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评分总值最高为 100 分，评分分值（权重）分配如下：</w:t>
      </w:r>
    </w:p>
    <w:tbl>
      <w:tblPr>
        <w:tblStyle w:val="18"/>
        <w:tblW w:w="6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2636"/>
        <w:gridCol w:w="2284"/>
      </w:tblGrid>
      <w:tr w14:paraId="5C7DF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726" w:type="dxa"/>
            <w:vMerge w:val="restart"/>
            <w:vAlign w:val="center"/>
          </w:tcPr>
          <w:p w14:paraId="5A16D4F9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评分办法名称</w:t>
            </w:r>
          </w:p>
        </w:tc>
        <w:tc>
          <w:tcPr>
            <w:tcW w:w="4920" w:type="dxa"/>
            <w:gridSpan w:val="2"/>
            <w:vAlign w:val="top"/>
          </w:tcPr>
          <w:p w14:paraId="75B0BF02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分值权重</w:t>
            </w:r>
          </w:p>
        </w:tc>
      </w:tr>
      <w:tr w14:paraId="7038D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726" w:type="dxa"/>
            <w:vMerge w:val="continue"/>
            <w:vAlign w:val="center"/>
          </w:tcPr>
          <w:p w14:paraId="721F9E0F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636" w:type="dxa"/>
            <w:vAlign w:val="center"/>
          </w:tcPr>
          <w:p w14:paraId="24E36B6B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方案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评分</w:t>
            </w:r>
          </w:p>
        </w:tc>
        <w:tc>
          <w:tcPr>
            <w:tcW w:w="2284" w:type="dxa"/>
            <w:vAlign w:val="center"/>
          </w:tcPr>
          <w:p w14:paraId="5C2E379E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价格评分</w:t>
            </w:r>
          </w:p>
        </w:tc>
      </w:tr>
      <w:tr w14:paraId="5CBA4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26" w:type="dxa"/>
            <w:vAlign w:val="center"/>
          </w:tcPr>
          <w:p w14:paraId="7996C45C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评分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占比</w:t>
            </w:r>
          </w:p>
        </w:tc>
        <w:tc>
          <w:tcPr>
            <w:tcW w:w="2636" w:type="dxa"/>
            <w:vAlign w:val="center"/>
          </w:tcPr>
          <w:p w14:paraId="391F2446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70</w:t>
            </w:r>
          </w:p>
        </w:tc>
        <w:tc>
          <w:tcPr>
            <w:tcW w:w="2284" w:type="dxa"/>
            <w:vAlign w:val="center"/>
          </w:tcPr>
          <w:p w14:paraId="18870D24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30</w:t>
            </w:r>
          </w:p>
        </w:tc>
      </w:tr>
    </w:tbl>
    <w:p w14:paraId="60D94AB2"/>
    <w:p w14:paraId="2456CF4D">
      <w:pPr>
        <w:pStyle w:val="2"/>
        <w:rPr>
          <w:rFonts w:hint="eastAsia"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Futura Bk">
    <w:altName w:val="Segoe Print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395599"/>
    <w:multiLevelType w:val="multilevel"/>
    <w:tmpl w:val="19395599"/>
    <w:lvl w:ilvl="0" w:tentative="0">
      <w:start w:val="1"/>
      <w:numFmt w:val="chineseCountingThousand"/>
      <w:lvlText w:val="第%1章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ind w:left="864" w:hanging="864"/>
      </w:pPr>
      <w:rPr>
        <w:rFonts w:hint="default" w:asciiTheme="majorHAnsi" w:hAnsiTheme="majorHAnsi" w:cstheme="majorHAnsi"/>
      </w:rPr>
    </w:lvl>
    <w:lvl w:ilvl="4" w:tentative="0">
      <w:start w:val="1"/>
      <w:numFmt w:val="decimal"/>
      <w:isLgl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64711918"/>
    <w:multiLevelType w:val="multilevel"/>
    <w:tmpl w:val="64711918"/>
    <w:lvl w:ilvl="0" w:tentative="0">
      <w:start w:val="1"/>
      <w:numFmt w:val="bullet"/>
      <w:pStyle w:val="33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6B4D3DE7"/>
    <w:multiLevelType w:val="multilevel"/>
    <w:tmpl w:val="6B4D3DE7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pStyle w:val="4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>
    <w:nsid w:val="6C5C5671"/>
    <w:multiLevelType w:val="multilevel"/>
    <w:tmpl w:val="6C5C5671"/>
    <w:lvl w:ilvl="0" w:tentative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abstractNum w:abstractNumId="4">
    <w:nsid w:val="73A437DC"/>
    <w:multiLevelType w:val="multilevel"/>
    <w:tmpl w:val="73A437DC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pStyle w:val="5"/>
      <w:lvlText w:val="%1.%2.%3."/>
      <w:lvlJc w:val="left"/>
      <w:pPr>
        <w:ind w:left="709" w:hanging="709"/>
      </w:pPr>
      <w:rPr>
        <w:rFonts w:ascii="仿宋" w:hAnsi="仿宋" w:eastAsia="仿宋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>
    <w:nsid w:val="7DF5666C"/>
    <w:multiLevelType w:val="singleLevel"/>
    <w:tmpl w:val="7DF5666C"/>
    <w:lvl w:ilvl="0" w:tentative="0">
      <w:start w:val="1"/>
      <w:numFmt w:val="chineseCountingThousand"/>
      <w:pStyle w:val="3"/>
      <w:lvlText w:val="%1、"/>
      <w:lvlJc w:val="left"/>
      <w:pPr>
        <w:ind w:left="420" w:hanging="42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zY2RlN2MyOTZlYTg2ZTJiMzMwZWNiNjkyZTVmMDkifQ=="/>
  </w:docVars>
  <w:rsids>
    <w:rsidRoot w:val="00551283"/>
    <w:rsid w:val="000513D7"/>
    <w:rsid w:val="00064476"/>
    <w:rsid w:val="00084C26"/>
    <w:rsid w:val="00091855"/>
    <w:rsid w:val="000C2B20"/>
    <w:rsid w:val="000E2D9A"/>
    <w:rsid w:val="000E43F3"/>
    <w:rsid w:val="000F216A"/>
    <w:rsid w:val="00113178"/>
    <w:rsid w:val="001552EC"/>
    <w:rsid w:val="001B6129"/>
    <w:rsid w:val="001D0147"/>
    <w:rsid w:val="001E4101"/>
    <w:rsid w:val="002340CA"/>
    <w:rsid w:val="00300440"/>
    <w:rsid w:val="00335CF7"/>
    <w:rsid w:val="00371557"/>
    <w:rsid w:val="00396118"/>
    <w:rsid w:val="003A0F75"/>
    <w:rsid w:val="003B0360"/>
    <w:rsid w:val="00403188"/>
    <w:rsid w:val="0040372C"/>
    <w:rsid w:val="00412BD4"/>
    <w:rsid w:val="00435CBF"/>
    <w:rsid w:val="00454968"/>
    <w:rsid w:val="004F2343"/>
    <w:rsid w:val="00551283"/>
    <w:rsid w:val="005F3254"/>
    <w:rsid w:val="0060744D"/>
    <w:rsid w:val="00683570"/>
    <w:rsid w:val="006A081B"/>
    <w:rsid w:val="006A604C"/>
    <w:rsid w:val="006E2401"/>
    <w:rsid w:val="007C1028"/>
    <w:rsid w:val="00814D41"/>
    <w:rsid w:val="00817F5A"/>
    <w:rsid w:val="00820A34"/>
    <w:rsid w:val="00846BD1"/>
    <w:rsid w:val="00890558"/>
    <w:rsid w:val="00894653"/>
    <w:rsid w:val="008D525C"/>
    <w:rsid w:val="00905DF5"/>
    <w:rsid w:val="009259BC"/>
    <w:rsid w:val="00940F9B"/>
    <w:rsid w:val="00941247"/>
    <w:rsid w:val="009A30A7"/>
    <w:rsid w:val="009F2370"/>
    <w:rsid w:val="00A84A79"/>
    <w:rsid w:val="00A91599"/>
    <w:rsid w:val="00AC148A"/>
    <w:rsid w:val="00B05FD5"/>
    <w:rsid w:val="00B44EBF"/>
    <w:rsid w:val="00B62E39"/>
    <w:rsid w:val="00B9781D"/>
    <w:rsid w:val="00BA6CFE"/>
    <w:rsid w:val="00BA722D"/>
    <w:rsid w:val="00C42143"/>
    <w:rsid w:val="00C50F00"/>
    <w:rsid w:val="00C61E43"/>
    <w:rsid w:val="00C857D7"/>
    <w:rsid w:val="00D014A9"/>
    <w:rsid w:val="00D81B81"/>
    <w:rsid w:val="00D92149"/>
    <w:rsid w:val="00D96000"/>
    <w:rsid w:val="00DF2860"/>
    <w:rsid w:val="00E51F99"/>
    <w:rsid w:val="00E67FE6"/>
    <w:rsid w:val="00EC16F0"/>
    <w:rsid w:val="00EE23AB"/>
    <w:rsid w:val="00EF3C2E"/>
    <w:rsid w:val="00F1051C"/>
    <w:rsid w:val="00F24828"/>
    <w:rsid w:val="00FB0FD0"/>
    <w:rsid w:val="00FB2AB9"/>
    <w:rsid w:val="00FF1B3D"/>
    <w:rsid w:val="00FF7946"/>
    <w:rsid w:val="0123635B"/>
    <w:rsid w:val="03730CE6"/>
    <w:rsid w:val="069D709B"/>
    <w:rsid w:val="083D462D"/>
    <w:rsid w:val="089B03BE"/>
    <w:rsid w:val="08F10002"/>
    <w:rsid w:val="0AD04498"/>
    <w:rsid w:val="0AF344E1"/>
    <w:rsid w:val="0B8A0707"/>
    <w:rsid w:val="0D4E59FF"/>
    <w:rsid w:val="0E87741A"/>
    <w:rsid w:val="0F3D1FF9"/>
    <w:rsid w:val="104D01F0"/>
    <w:rsid w:val="14C26623"/>
    <w:rsid w:val="152D05F0"/>
    <w:rsid w:val="1C187905"/>
    <w:rsid w:val="1CBA6087"/>
    <w:rsid w:val="1CDB77AE"/>
    <w:rsid w:val="1E5F118E"/>
    <w:rsid w:val="1FED72F9"/>
    <w:rsid w:val="23B2718B"/>
    <w:rsid w:val="26AB0FF1"/>
    <w:rsid w:val="2D0A14EA"/>
    <w:rsid w:val="308A3C4A"/>
    <w:rsid w:val="30B11C7D"/>
    <w:rsid w:val="310050DA"/>
    <w:rsid w:val="31E776C9"/>
    <w:rsid w:val="3234731D"/>
    <w:rsid w:val="34782098"/>
    <w:rsid w:val="375D747B"/>
    <w:rsid w:val="394A0EC1"/>
    <w:rsid w:val="3A0E7BA1"/>
    <w:rsid w:val="3A5F19D4"/>
    <w:rsid w:val="3B6C511E"/>
    <w:rsid w:val="3C1D50C9"/>
    <w:rsid w:val="3CDE204C"/>
    <w:rsid w:val="41C757A4"/>
    <w:rsid w:val="44B958BD"/>
    <w:rsid w:val="4800731A"/>
    <w:rsid w:val="4A595408"/>
    <w:rsid w:val="4AE578EA"/>
    <w:rsid w:val="4CCA6149"/>
    <w:rsid w:val="515F3414"/>
    <w:rsid w:val="51D6733E"/>
    <w:rsid w:val="533F2B5D"/>
    <w:rsid w:val="53A055C2"/>
    <w:rsid w:val="53D37582"/>
    <w:rsid w:val="54144A54"/>
    <w:rsid w:val="55E43733"/>
    <w:rsid w:val="565D002E"/>
    <w:rsid w:val="56B0015D"/>
    <w:rsid w:val="58293F29"/>
    <w:rsid w:val="5A1409D5"/>
    <w:rsid w:val="5BA83AF9"/>
    <w:rsid w:val="5C115B42"/>
    <w:rsid w:val="5C932A94"/>
    <w:rsid w:val="5CC26E3C"/>
    <w:rsid w:val="5DF42188"/>
    <w:rsid w:val="5FD34A17"/>
    <w:rsid w:val="621A1E01"/>
    <w:rsid w:val="62C75957"/>
    <w:rsid w:val="661F2C0A"/>
    <w:rsid w:val="665254F9"/>
    <w:rsid w:val="675B5EC3"/>
    <w:rsid w:val="67B47208"/>
    <w:rsid w:val="6AFD1095"/>
    <w:rsid w:val="6F103B5A"/>
    <w:rsid w:val="72BE3268"/>
    <w:rsid w:val="76EB7E15"/>
    <w:rsid w:val="79E955B1"/>
    <w:rsid w:val="7BD157B5"/>
    <w:rsid w:val="7E9417F3"/>
    <w:rsid w:val="7EF974A7"/>
    <w:rsid w:val="7F4B2126"/>
    <w:rsid w:val="7F88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jc w:val="left"/>
      <w:outlineLvl w:val="0"/>
    </w:pPr>
    <w:rPr>
      <w:rFonts w:ascii="Calibri" w:hAnsi="Calibri" w:eastAsia="宋体" w:cs="Times New Roman"/>
      <w:b/>
      <w:kern w:val="44"/>
      <w:sz w:val="32"/>
      <w:szCs w:val="32"/>
    </w:rPr>
  </w:style>
  <w:style w:type="paragraph" w:styleId="4">
    <w:name w:val="heading 2"/>
    <w:basedOn w:val="1"/>
    <w:next w:val="1"/>
    <w:link w:val="38"/>
    <w:unhideWhenUsed/>
    <w:qFormat/>
    <w:uiPriority w:val="9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仿宋" w:hAnsi="仿宋" w:eastAsia="仿宋" w:cstheme="majorBidi"/>
      <w:b/>
      <w:bCs/>
      <w:sz w:val="30"/>
      <w:szCs w:val="30"/>
    </w:rPr>
  </w:style>
  <w:style w:type="paragraph" w:styleId="5">
    <w:name w:val="heading 3"/>
    <w:basedOn w:val="1"/>
    <w:next w:val="1"/>
    <w:link w:val="39"/>
    <w:unhideWhenUsed/>
    <w:qFormat/>
    <w:uiPriority w:val="9"/>
    <w:pPr>
      <w:keepNext/>
      <w:keepLines/>
      <w:numPr>
        <w:ilvl w:val="2"/>
        <w:numId w:val="3"/>
      </w:numPr>
      <w:spacing w:before="260" w:after="260" w:line="416" w:lineRule="auto"/>
      <w:outlineLvl w:val="2"/>
    </w:pPr>
    <w:rPr>
      <w:rFonts w:ascii="仿宋" w:hAnsi="仿宋" w:eastAsia="仿宋"/>
      <w:b/>
      <w:bCs/>
      <w:sz w:val="28"/>
      <w:szCs w:val="30"/>
    </w:rPr>
  </w:style>
  <w:style w:type="paragraph" w:styleId="6">
    <w:name w:val="heading 4"/>
    <w:basedOn w:val="1"/>
    <w:next w:val="1"/>
    <w:unhideWhenUsed/>
    <w:qFormat/>
    <w:uiPriority w:val="9"/>
    <w:pPr>
      <w:keepNext/>
      <w:keepLines/>
      <w:widowControl/>
      <w:numPr>
        <w:ilvl w:val="3"/>
        <w:numId w:val="4"/>
      </w:numPr>
      <w:spacing w:before="50" w:beforeLines="50" w:after="50" w:afterLines="50"/>
      <w:ind w:left="862" w:hanging="862"/>
      <w:outlineLvl w:val="3"/>
    </w:pPr>
    <w:rPr>
      <w:rFonts w:ascii="宋体" w:hAnsi="宋体" w:eastAsia="黑体" w:cs="宋体"/>
      <w:bCs/>
      <w:kern w:val="0"/>
      <w:szCs w:val="28"/>
      <w:lang w:val="en-GB"/>
    </w:rPr>
  </w:style>
  <w:style w:type="paragraph" w:styleId="7">
    <w:name w:val="heading 5"/>
    <w:basedOn w:val="1"/>
    <w:next w:val="1"/>
    <w:link w:val="37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7"/>
    <w:basedOn w:val="1"/>
    <w:next w:val="1"/>
    <w:link w:val="36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20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cs="Times New Roman"/>
      <w:sz w:val="21"/>
    </w:rPr>
  </w:style>
  <w:style w:type="paragraph" w:styleId="9">
    <w:name w:val="annotation text"/>
    <w:basedOn w:val="1"/>
    <w:link w:val="41"/>
    <w:unhideWhenUsed/>
    <w:qFormat/>
    <w:uiPriority w:val="99"/>
    <w:pPr>
      <w:jc w:val="left"/>
    </w:pPr>
  </w:style>
  <w:style w:type="paragraph" w:styleId="10">
    <w:name w:val="Body Text"/>
    <w:basedOn w:val="1"/>
    <w:next w:val="1"/>
    <w:unhideWhenUsed/>
    <w:qFormat/>
    <w:uiPriority w:val="99"/>
    <w:pPr>
      <w:widowControl/>
      <w:spacing w:after="120"/>
      <w:jc w:val="left"/>
    </w:pPr>
    <w:rPr>
      <w:rFonts w:ascii="ˎ̥" w:hAnsi="ˎ̥"/>
      <w:color w:val="000000"/>
      <w:kern w:val="0"/>
      <w:sz w:val="24"/>
      <w:szCs w:val="20"/>
    </w:rPr>
  </w:style>
  <w:style w:type="paragraph" w:styleId="11">
    <w:name w:val="Balloon Text"/>
    <w:basedOn w:val="1"/>
    <w:link w:val="43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HTML Preformatted"/>
    <w:basedOn w:val="1"/>
    <w:link w:val="2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Title"/>
    <w:basedOn w:val="1"/>
    <w:next w:val="1"/>
    <w:link w:val="32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17">
    <w:name w:val="annotation subject"/>
    <w:basedOn w:val="9"/>
    <w:next w:val="9"/>
    <w:link w:val="42"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rPr>
      <w:rFonts w:asciiTheme="minorHAnsi" w:hAnsiTheme="minorHAnsi" w:eastAsiaTheme="minorEastAsia" w:cstheme="minorBidi"/>
      <w:kern w:val="2"/>
      <w:sz w:val="21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Emphasis"/>
    <w:basedOn w:val="20"/>
    <w:qFormat/>
    <w:uiPriority w:val="20"/>
    <w:rPr>
      <w:i/>
      <w:i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character" w:customStyle="1" w:styleId="26">
    <w:name w:val="HTML 预设格式 字符"/>
    <w:basedOn w:val="20"/>
    <w:link w:val="14"/>
    <w:semiHidden/>
    <w:qFormat/>
    <w:uiPriority w:val="99"/>
    <w:rPr>
      <w:rFonts w:ascii="宋体" w:hAnsi="宋体" w:cs="宋体"/>
      <w:sz w:val="24"/>
      <w:szCs w:val="24"/>
    </w:rPr>
  </w:style>
  <w:style w:type="paragraph" w:customStyle="1" w:styleId="27">
    <w:name w:val="Body text|1"/>
    <w:basedOn w:val="1"/>
    <w:qFormat/>
    <w:uiPriority w:val="0"/>
    <w:pPr>
      <w:spacing w:line="446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28">
    <w:name w:val="正文首行缩进zz"/>
    <w:basedOn w:val="1"/>
    <w:link w:val="29"/>
    <w:qFormat/>
    <w:uiPriority w:val="0"/>
    <w:pPr>
      <w:widowControl/>
      <w:spacing w:line="360" w:lineRule="auto"/>
      <w:ind w:firstLine="420" w:firstLineChars="198"/>
    </w:pPr>
    <w:rPr>
      <w:rFonts w:ascii="Times New Roman" w:hAnsi="Times New Roman" w:eastAsia="仿宋" w:cs="Times New Roman"/>
      <w:sz w:val="24"/>
      <w:szCs w:val="20"/>
    </w:rPr>
  </w:style>
  <w:style w:type="character" w:customStyle="1" w:styleId="29">
    <w:name w:val="正文首行缩进zz Char"/>
    <w:link w:val="28"/>
    <w:qFormat/>
    <w:uiPriority w:val="0"/>
    <w:rPr>
      <w:rFonts w:eastAsia="仿宋"/>
      <w:kern w:val="2"/>
      <w:sz w:val="24"/>
    </w:rPr>
  </w:style>
  <w:style w:type="paragraph" w:customStyle="1" w:styleId="30">
    <w:name w:val="tytytyty"/>
    <w:basedOn w:val="1"/>
    <w:link w:val="31"/>
    <w:qFormat/>
    <w:uiPriority w:val="0"/>
    <w:pPr>
      <w:spacing w:line="360" w:lineRule="auto"/>
      <w:ind w:left="359" w:leftChars="171" w:firstLine="480" w:firstLineChars="200"/>
    </w:pPr>
    <w:rPr>
      <w:rFonts w:ascii="Times New Roman" w:hAnsi="Times New Roman" w:eastAsia="仿宋" w:cs="Times New Roman"/>
      <w:sz w:val="24"/>
      <w:szCs w:val="24"/>
    </w:rPr>
  </w:style>
  <w:style w:type="character" w:customStyle="1" w:styleId="31">
    <w:name w:val="tytytyty Char1"/>
    <w:link w:val="30"/>
    <w:qFormat/>
    <w:uiPriority w:val="0"/>
    <w:rPr>
      <w:rFonts w:eastAsia="仿宋"/>
      <w:kern w:val="2"/>
      <w:sz w:val="24"/>
      <w:szCs w:val="24"/>
    </w:rPr>
  </w:style>
  <w:style w:type="character" w:customStyle="1" w:styleId="32">
    <w:name w:val="标题 字符"/>
    <w:basedOn w:val="20"/>
    <w:link w:val="16"/>
    <w:qFormat/>
    <w:uiPriority w:val="10"/>
    <w:rPr>
      <w:rFonts w:ascii="Cambria" w:hAnsi="Cambria"/>
      <w:b/>
      <w:bCs/>
      <w:kern w:val="2"/>
      <w:sz w:val="32"/>
      <w:szCs w:val="32"/>
    </w:rPr>
  </w:style>
  <w:style w:type="paragraph" w:customStyle="1" w:styleId="33">
    <w:name w:val="展示"/>
    <w:basedOn w:val="34"/>
    <w:link w:val="35"/>
    <w:qFormat/>
    <w:uiPriority w:val="0"/>
    <w:pPr>
      <w:numPr>
        <w:ilvl w:val="0"/>
        <w:numId w:val="5"/>
      </w:numPr>
      <w:adjustRightInd w:val="0"/>
      <w:snapToGrid w:val="0"/>
      <w:spacing w:line="360" w:lineRule="auto"/>
      <w:ind w:firstLine="0" w:firstLineChars="0"/>
    </w:pPr>
    <w:rPr>
      <w:rFonts w:eastAsia="仿宋" w:cs="宋体" w:asciiTheme="minorEastAsia" w:hAnsiTheme="minorEastAsia"/>
      <w:bCs/>
      <w:sz w:val="24"/>
      <w:szCs w:val="24"/>
    </w:rPr>
  </w:style>
  <w:style w:type="paragraph" w:customStyle="1" w:styleId="34">
    <w:name w:val="List Paragraph"/>
    <w:basedOn w:val="1"/>
    <w:qFormat/>
    <w:uiPriority w:val="99"/>
    <w:pPr>
      <w:ind w:firstLine="420" w:firstLineChars="200"/>
    </w:pPr>
  </w:style>
  <w:style w:type="character" w:customStyle="1" w:styleId="35">
    <w:name w:val="展示 字符"/>
    <w:basedOn w:val="20"/>
    <w:link w:val="33"/>
    <w:qFormat/>
    <w:uiPriority w:val="0"/>
    <w:rPr>
      <w:rFonts w:eastAsia="仿宋" w:cs="宋体" w:asciiTheme="minorEastAsia" w:hAnsiTheme="minorEastAsia"/>
      <w:bCs/>
      <w:kern w:val="2"/>
      <w:sz w:val="24"/>
      <w:szCs w:val="24"/>
    </w:rPr>
  </w:style>
  <w:style w:type="character" w:customStyle="1" w:styleId="36">
    <w:name w:val="标题 7 字符"/>
    <w:basedOn w:val="20"/>
    <w:link w:val="8"/>
    <w:semiHidden/>
    <w:qFormat/>
    <w:uiPriority w:val="9"/>
    <w:rPr>
      <w:rFonts w:asciiTheme="minorHAnsi" w:hAnsiTheme="minorHAnsi" w:eastAsiaTheme="minorEastAsia" w:cstheme="minorBidi"/>
      <w:b/>
      <w:bCs/>
      <w:kern w:val="2"/>
      <w:sz w:val="24"/>
      <w:szCs w:val="24"/>
    </w:rPr>
  </w:style>
  <w:style w:type="character" w:customStyle="1" w:styleId="37">
    <w:name w:val="标题 5 字符"/>
    <w:basedOn w:val="20"/>
    <w:link w:val="7"/>
    <w:semiHidden/>
    <w:qFormat/>
    <w:uiPriority w:val="9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38">
    <w:name w:val="标题 2 字符"/>
    <w:basedOn w:val="20"/>
    <w:link w:val="4"/>
    <w:qFormat/>
    <w:uiPriority w:val="9"/>
    <w:rPr>
      <w:rFonts w:ascii="仿宋" w:hAnsi="仿宋" w:eastAsia="仿宋" w:cstheme="majorBidi"/>
      <w:b/>
      <w:bCs/>
      <w:kern w:val="2"/>
      <w:sz w:val="30"/>
      <w:szCs w:val="30"/>
    </w:rPr>
  </w:style>
  <w:style w:type="character" w:customStyle="1" w:styleId="39">
    <w:name w:val="标题 3 字符"/>
    <w:basedOn w:val="20"/>
    <w:link w:val="5"/>
    <w:qFormat/>
    <w:uiPriority w:val="9"/>
    <w:rPr>
      <w:rFonts w:ascii="仿宋" w:hAnsi="仿宋" w:eastAsia="仿宋" w:cstheme="minorBidi"/>
      <w:b/>
      <w:bCs/>
      <w:kern w:val="2"/>
      <w:sz w:val="28"/>
      <w:szCs w:val="30"/>
    </w:rPr>
  </w:style>
  <w:style w:type="paragraph" w:customStyle="1" w:styleId="40">
    <w:name w:val="正文 New"/>
    <w:qFormat/>
    <w:uiPriority w:val="0"/>
    <w:pPr>
      <w:widowControl w:val="0"/>
      <w:jc w:val="both"/>
    </w:pPr>
    <w:rPr>
      <w:rFonts w:ascii="Futura Bk" w:hAnsi="Futura Bk" w:eastAsia="楷体_GB2312" w:cs="Futura Bk"/>
      <w:kern w:val="2"/>
      <w:sz w:val="21"/>
      <w:szCs w:val="24"/>
      <w:lang w:val="en-US" w:eastAsia="zh-CN" w:bidi="ar-SA"/>
    </w:rPr>
  </w:style>
  <w:style w:type="character" w:customStyle="1" w:styleId="41">
    <w:name w:val="批注文字 字符"/>
    <w:basedOn w:val="20"/>
    <w:link w:val="9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2">
    <w:name w:val="批注主题 字符"/>
    <w:basedOn w:val="41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43">
    <w:name w:val="批注框文本 字符"/>
    <w:basedOn w:val="20"/>
    <w:link w:val="11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44">
    <w:name w:val="方案正文"/>
    <w:basedOn w:val="1"/>
    <w:qFormat/>
    <w:uiPriority w:val="0"/>
    <w:pPr>
      <w:ind w:firstLine="200" w:firstLineChars="200"/>
    </w:pPr>
    <w:rPr>
      <w:rFonts w:cs="Times New Roman"/>
      <w:szCs w:val="28"/>
    </w:rPr>
  </w:style>
  <w:style w:type="paragraph" w:customStyle="1" w:styleId="45">
    <w:name w:val="正文-方案"/>
    <w:basedOn w:val="1"/>
    <w:qFormat/>
    <w:uiPriority w:val="0"/>
    <w:pPr>
      <w:ind w:firstLine="56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4</Pages>
  <Words>1749</Words>
  <Characters>1935</Characters>
  <Lines>26</Lines>
  <Paragraphs>7</Paragraphs>
  <TotalTime>0</TotalTime>
  <ScaleCrop>false</ScaleCrop>
  <LinksUpToDate>false</LinksUpToDate>
  <CharactersWithSpaces>2018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2021-12-31T07:52:00Z</dcterms:created>
  <dc:creator>王晓君</dc:creator>
  <cp:lastModifiedBy>酒香</cp:lastModifiedBy>
  <dcterms:modified xsi:type="dcterms:W3CDTF">2025-05-10T14:43:19Z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94ECF1F51B5143B18A20D1FB563D9ED5</vt:lpwstr>
  </property>
  <property fmtid="{D5CDD505-2E9C-101B-9397-08002B2CF9AE}" pid="4" name="KSOTemplateDocerSaveRecord">
    <vt:lpwstr>eyJoZGlkIjoiYmFlNTRlNTNmYmUwODhmZGNhYzQ4M2E0ZDNjZWI1ZmQiLCJ1c2VySWQiOiI3NDIwNzY4NDIifQ==</vt:lpwstr>
  </property>
</Properties>
</file>