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09649"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Cs w:val="32"/>
          <w:highlight w:val="none"/>
        </w:rPr>
      </w:pPr>
      <w:r>
        <w:rPr>
          <w:rFonts w:hint="eastAsia" w:ascii="宋体" w:hAnsi="宋体" w:eastAsia="宋体" w:cs="宋体"/>
          <w:b/>
          <w:kern w:val="0"/>
          <w:szCs w:val="32"/>
          <w:highlight w:val="none"/>
        </w:rPr>
        <w:t>省科技监测中心《广东科技年鉴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  <w:lang w:val="en-US" w:eastAsia="zh-CN"/>
        </w:rPr>
        <w:t>2024年卷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</w:rPr>
        <w:t>》出版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  <w:lang w:val="en-US" w:eastAsia="zh-CN"/>
        </w:rPr>
        <w:t>服务</w:t>
      </w:r>
      <w:r>
        <w:rPr>
          <w:rFonts w:hint="eastAsia" w:ascii="宋体" w:hAnsi="宋体" w:eastAsia="宋体" w:cs="宋体"/>
          <w:b/>
          <w:kern w:val="0"/>
          <w:szCs w:val="32"/>
          <w:highlight w:val="none"/>
        </w:rPr>
        <w:t>采购需求书</w:t>
      </w:r>
    </w:p>
    <w:p w14:paraId="1254697B">
      <w:pPr>
        <w:pStyle w:val="2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项目内容</w:t>
      </w:r>
    </w:p>
    <w:p w14:paraId="518587E1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1.对《广东科技年鉴（2024年卷）》全书校核，</w:t>
      </w:r>
      <w:r>
        <w:rPr>
          <w:rFonts w:hint="eastAsia"/>
          <w:sz w:val="28"/>
          <w:szCs w:val="28"/>
          <w:highlight w:val="none"/>
          <w:lang w:val="en-US" w:eastAsia="zh-CN"/>
        </w:rPr>
        <w:t>约130万字数，</w:t>
      </w:r>
      <w:r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  <w:t>严格</w:t>
      </w:r>
      <w:r>
        <w:rPr>
          <w:rFonts w:hint="eastAsia" w:ascii="仿宋" w:hAnsi="仿宋" w:eastAsia="仿宋" w:cstheme="minorBidi"/>
          <w:sz w:val="28"/>
          <w:szCs w:val="28"/>
          <w:highlight w:val="none"/>
          <w:shd w:val="clear"/>
        </w:rPr>
        <w:t>落实</w:t>
      </w:r>
      <w:r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  <w:t>“</w:t>
      </w:r>
      <w:r>
        <w:rPr>
          <w:rFonts w:hint="eastAsia" w:ascii="仿宋" w:hAnsi="仿宋" w:eastAsia="仿宋" w:cstheme="minorBidi"/>
          <w:sz w:val="28"/>
          <w:szCs w:val="28"/>
          <w:highlight w:val="none"/>
          <w:shd w:val="clear"/>
        </w:rPr>
        <w:t>三审三校</w:t>
      </w:r>
      <w:r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  <w:t>”</w:t>
      </w:r>
      <w:r>
        <w:rPr>
          <w:rFonts w:hint="eastAsia" w:ascii="仿宋" w:hAnsi="仿宋" w:eastAsia="仿宋" w:cstheme="minorBidi"/>
          <w:sz w:val="28"/>
          <w:szCs w:val="28"/>
          <w:highlight w:val="none"/>
          <w:shd w:val="clear"/>
        </w:rPr>
        <w:t>制度</w:t>
      </w:r>
      <w:r>
        <w:rPr>
          <w:rFonts w:hint="eastAsia" w:ascii="仿宋" w:hAnsi="仿宋" w:eastAsia="仿宋" w:cstheme="minorBidi"/>
          <w:sz w:val="28"/>
          <w:szCs w:val="28"/>
          <w:highlight w:val="none"/>
          <w:shd w:val="clear"/>
          <w:lang w:eastAsia="zh-CN"/>
        </w:rPr>
        <w:t>，</w:t>
      </w:r>
      <w:r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  <w:t>对稿件的政治导向、社会效应以及是否符合相关出版要求作出判断，对所有拟出版信息在文字规范上审核，确保无文字错误或歧义，严把政治关。</w:t>
      </w:r>
    </w:p>
    <w:p w14:paraId="16ABB56A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theme="minorBidi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" w:hAnsi="仿宋" w:eastAsia="仿宋" w:cstheme="minorBidi"/>
          <w:i w:val="0"/>
          <w:iCs w:val="0"/>
          <w:caps w:val="0"/>
          <w:spacing w:val="0"/>
          <w:sz w:val="28"/>
          <w:szCs w:val="28"/>
          <w:highlight w:val="none"/>
          <w:shd w:val="clear" w:fill="auto"/>
        </w:rPr>
        <w:t>制作索引</w:t>
      </w:r>
      <w:r>
        <w:rPr>
          <w:rFonts w:hint="eastAsia" w:ascii="仿宋" w:hAnsi="仿宋" w:eastAsia="仿宋" w:cstheme="minorBidi"/>
          <w:i w:val="0"/>
          <w:iCs w:val="0"/>
          <w:caps w:val="0"/>
          <w:spacing w:val="0"/>
          <w:sz w:val="28"/>
          <w:szCs w:val="28"/>
          <w:highlight w:val="none"/>
          <w:shd w:val="clear"/>
          <w:lang w:eastAsia="zh-CN"/>
        </w:rPr>
        <w:t>。根据书刊内容（工具书）编制专业索引，</w:t>
      </w:r>
      <w:r>
        <w:rPr>
          <w:rFonts w:hint="eastAsia" w:ascii="仿宋" w:hAnsi="仿宋" w:eastAsia="仿宋" w:cstheme="minorBidi"/>
          <w:i w:val="0"/>
          <w:iCs w:val="0"/>
          <w:caps w:val="0"/>
          <w:spacing w:val="0"/>
          <w:sz w:val="28"/>
          <w:szCs w:val="28"/>
          <w:highlight w:val="none"/>
          <w:shd w:val="clear"/>
        </w:rPr>
        <w:t>索引格式需符合行业规范</w:t>
      </w:r>
      <w:r>
        <w:rPr>
          <w:rFonts w:hint="eastAsia" w:ascii="仿宋" w:hAnsi="仿宋" w:eastAsia="仿宋" w:cstheme="minorBidi"/>
          <w:i w:val="0"/>
          <w:iCs w:val="0"/>
          <w:caps w:val="0"/>
          <w:spacing w:val="0"/>
          <w:sz w:val="28"/>
          <w:szCs w:val="28"/>
          <w:highlight w:val="none"/>
          <w:shd w:val="clear"/>
          <w:lang w:eastAsia="zh-CN"/>
        </w:rPr>
        <w:t>。</w:t>
      </w:r>
      <w:bookmarkStart w:id="0" w:name="_GoBack"/>
      <w:bookmarkEnd w:id="0"/>
    </w:p>
    <w:p w14:paraId="77F604C7">
      <w:pPr>
        <w:numPr>
          <w:ilvl w:val="0"/>
          <w:numId w:val="0"/>
        </w:numPr>
        <w:ind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3.《广东科技年鉴（2024年卷）》出版。提供ISBN申请、封面设计、内文排版、印刷装订（平装/精装）、出版手续代办等服务。</w:t>
      </w:r>
    </w:p>
    <w:p w14:paraId="0DC36CDF">
      <w:pPr>
        <w:pStyle w:val="2"/>
        <w:rPr>
          <w:rFonts w:hint="eastAsia"/>
          <w:highlight w:val="none"/>
        </w:rPr>
      </w:pPr>
      <w:r>
        <w:rPr>
          <w:rFonts w:hint="eastAsia"/>
          <w:highlight w:val="none"/>
        </w:rPr>
        <w:t>采购项目需求（包括种类、数量、质量）</w:t>
      </w:r>
    </w:p>
    <w:p w14:paraId="7FF138D2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以纸质图书形式复制、发行《广东科技年鉴（2024年卷）》。</w:t>
      </w:r>
    </w:p>
    <w:p w14:paraId="3AB0A315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1.种类：纸质图书，成品尺寸285*210mm，图文并茂，彩色印刷。</w:t>
      </w:r>
    </w:p>
    <w:p w14:paraId="4AAD1789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2.数量：1000册。</w:t>
      </w:r>
    </w:p>
    <w:p w14:paraId="2ABC6A15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3.质量：保证编审稿件的内容、篇幅、体例、图表、附录等应符合齐、清、定的要求，保证出版质量符合国务院《出版管理条例》（202</w:t>
      </w:r>
      <w:r>
        <w:rPr>
          <w:rFonts w:hint="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年修订）、新闻出版总署《图书质量管理规定》等要求，每册差错率不超过1/10000；图书的设计符合国家有关技术标准和规定；图书编校质量不合格的，须负责收回不合格图书重新出版，由此产生的费用由乙方承担。</w:t>
      </w:r>
    </w:p>
    <w:p w14:paraId="3762DD9F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4.团队：保证组织专业高效的编辑团队按时按质量完成出版工作，负责该项工作的编辑、校对人员须熟悉地方志法规、志鉴书体例要求和质量规范国家保密规定等；团队的编辑须具有从事科技类志鉴书编纂出版经验，熟悉广东省科技发展情况、科技工作常规术语。</w:t>
      </w:r>
    </w:p>
    <w:p w14:paraId="283EB0E4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5.责任：保证项目有关资料只能由指定人员接触，严禁对外泄露；项目涉及的所有资料严禁在未经甲方允许认可的场合进行任何交流、展示。</w:t>
      </w:r>
    </w:p>
    <w:p w14:paraId="5A7C01C3">
      <w:pPr>
        <w:pStyle w:val="2"/>
        <w:rPr>
          <w:rFonts w:hint="eastAsia"/>
          <w:highlight w:val="none"/>
        </w:rPr>
      </w:pPr>
      <w:r>
        <w:rPr>
          <w:rFonts w:hint="eastAsia"/>
          <w:highlight w:val="none"/>
        </w:rPr>
        <w:t>采购项目服务期限</w:t>
      </w:r>
    </w:p>
    <w:p w14:paraId="38B1A2BD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2025年</w:t>
      </w:r>
      <w:r>
        <w:rPr>
          <w:rFonts w:hint="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月</w:t>
      </w:r>
      <w:r>
        <w:rPr>
          <w:rFonts w:hint="eastAsia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日—2025年9月30日</w:t>
      </w:r>
    </w:p>
    <w:p w14:paraId="4DD2DA5F">
      <w:pPr>
        <w:pStyle w:val="2"/>
        <w:rPr>
          <w:rFonts w:hint="eastAsia"/>
          <w:highlight w:val="none"/>
        </w:rPr>
      </w:pPr>
      <w:r>
        <w:rPr>
          <w:rFonts w:hint="eastAsia"/>
          <w:highlight w:val="none"/>
        </w:rPr>
        <w:t>采购项目验收要求</w:t>
      </w:r>
    </w:p>
    <w:p w14:paraId="6341D98A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出版质量符合国务院《出版管理条例》（202</w:t>
      </w:r>
      <w:r>
        <w:rPr>
          <w:rFonts w:hint="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年修订）、新闻出版总署《图书质量管理规定》等要求，每册差错率不超过1/10000；图书的设计符合国家有关技术标准和规定；印刷出版后，提交图书出版验收报告。</w:t>
      </w:r>
    </w:p>
    <w:p w14:paraId="72457684">
      <w:pPr>
        <w:pStyle w:val="2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供应商要求</w:t>
      </w:r>
    </w:p>
    <w:p w14:paraId="45FDECA7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1.符合《中华人民共和国政府采购法》第二十二条规定的条件；</w:t>
      </w:r>
    </w:p>
    <w:p w14:paraId="157D5691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2.具有独立承担民事责任能力的在中华人民共和国境内注册的法人；</w:t>
      </w:r>
    </w:p>
    <w:p w14:paraId="6BBFE26D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3.具有有关行政部门颁发的中华人民共和国《图书出版许可证》；</w:t>
      </w:r>
    </w:p>
    <w:p w14:paraId="192FE1AB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4.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具有从事科技类志鉴书编纂出版经验</w:t>
      </w:r>
      <w:r>
        <w:rPr>
          <w:rFonts w:hint="eastAsia"/>
          <w:sz w:val="28"/>
          <w:szCs w:val="28"/>
          <w:highlight w:val="none"/>
          <w:lang w:val="en-US" w:eastAsia="zh-CN"/>
        </w:rPr>
        <w:t>；</w:t>
      </w:r>
    </w:p>
    <w:p w14:paraId="2DE1DE42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.拥有专业校对团队及印刷合作资源；</w:t>
      </w:r>
    </w:p>
    <w:p w14:paraId="335728D7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.近三年无重大违法违规记录；</w:t>
      </w:r>
    </w:p>
    <w:p w14:paraId="76A975EE"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.本项目不接受联合体投标。</w:t>
      </w:r>
    </w:p>
    <w:p w14:paraId="0C3CCAD6">
      <w:pPr>
        <w:pStyle w:val="2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响应文件提交（以书面形式提供）</w:t>
      </w:r>
    </w:p>
    <w:p w14:paraId="4A1C1265">
      <w:pPr>
        <w:numPr>
          <w:ilvl w:val="0"/>
          <w:numId w:val="0"/>
        </w:numPr>
        <w:ind w:leftChars="0" w:firstLine="560" w:firstLineChars="200"/>
        <w:rPr>
          <w:rFonts w:hint="eastAsia"/>
          <w:highlight w:val="none"/>
          <w:lang w:val="en-US" w:eastAsia="zh-CN"/>
        </w:rPr>
      </w:pPr>
      <w:r>
        <w:rPr>
          <w:rFonts w:hint="eastAsia" w:ascii="宋体" w:hAnsi="宋体" w:eastAsia="宋体" w:cs="宋体"/>
          <w:highlight w:val="none"/>
          <w:lang w:val="en-US" w:eastAsia="zh-CN"/>
        </w:rPr>
        <w:t>1.</w:t>
      </w:r>
      <w:r>
        <w:rPr>
          <w:rFonts w:hint="eastAsia"/>
          <w:highlight w:val="none"/>
          <w:lang w:val="en-US" w:eastAsia="zh-CN"/>
        </w:rPr>
        <w:t>公司资质证明（营业执照、出版资质等）；</w:t>
      </w:r>
    </w:p>
    <w:p w14:paraId="3B614CA5">
      <w:pPr>
        <w:numPr>
          <w:ilvl w:val="0"/>
          <w:numId w:val="0"/>
        </w:numPr>
        <w:ind w:leftChars="0" w:firstLine="56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2.服务方案（在公示期内提交含三审三校流程、索引制作方法、出版时间计划）；</w:t>
      </w:r>
    </w:p>
    <w:p w14:paraId="3D06359A">
      <w:pPr>
        <w:numPr>
          <w:ilvl w:val="0"/>
          <w:numId w:val="0"/>
        </w:numPr>
        <w:ind w:leftChars="0" w:firstLine="56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3.报价单（分项列明费用）。</w:t>
      </w:r>
    </w:p>
    <w:p w14:paraId="268EA862">
      <w:pPr>
        <w:pStyle w:val="2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评分标准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502C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restart"/>
            <w:vAlign w:val="center"/>
          </w:tcPr>
          <w:p w14:paraId="02F22130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评分办法名称</w:t>
            </w:r>
          </w:p>
        </w:tc>
        <w:tc>
          <w:tcPr>
            <w:tcW w:w="5682" w:type="dxa"/>
            <w:gridSpan w:val="2"/>
          </w:tcPr>
          <w:p w14:paraId="4EB70567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分值权重</w:t>
            </w:r>
          </w:p>
        </w:tc>
      </w:tr>
      <w:tr w14:paraId="6BE46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Merge w:val="continue"/>
          </w:tcPr>
          <w:p w14:paraId="6EE8E0A5">
            <w:pPr>
              <w:numPr>
                <w:ilvl w:val="0"/>
                <w:numId w:val="0"/>
              </w:numPr>
              <w:rPr>
                <w:rFonts w:hint="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1CA9B5D1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方案评分</w:t>
            </w:r>
          </w:p>
        </w:tc>
        <w:tc>
          <w:tcPr>
            <w:tcW w:w="2841" w:type="dxa"/>
          </w:tcPr>
          <w:p w14:paraId="4E9A35D7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价格评分</w:t>
            </w:r>
          </w:p>
        </w:tc>
      </w:tr>
      <w:tr w14:paraId="4E0C0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036F9BF4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评分占比</w:t>
            </w:r>
          </w:p>
        </w:tc>
        <w:tc>
          <w:tcPr>
            <w:tcW w:w="2841" w:type="dxa"/>
          </w:tcPr>
          <w:p w14:paraId="65E05F8E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70%</w:t>
            </w:r>
          </w:p>
        </w:tc>
        <w:tc>
          <w:tcPr>
            <w:tcW w:w="2841" w:type="dxa"/>
          </w:tcPr>
          <w:p w14:paraId="4CE39342">
            <w:pPr>
              <w:numPr>
                <w:ilvl w:val="0"/>
                <w:numId w:val="0"/>
              </w:num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30%</w:t>
            </w:r>
          </w:p>
        </w:tc>
      </w:tr>
    </w:tbl>
    <w:p w14:paraId="4B7AC889">
      <w:pPr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</w:p>
    <w:p w14:paraId="459F24B9">
      <w:pPr>
        <w:pStyle w:val="2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联系方式</w:t>
      </w:r>
    </w:p>
    <w:p w14:paraId="3852D11A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2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szCs w:val="22"/>
          <w:highlight w:val="none"/>
          <w:lang w:val="en-US" w:eastAsia="zh-CN"/>
        </w:rPr>
        <w:t>邮寄地址：广州市越秀区连新路171号3号楼</w:t>
      </w:r>
      <w:r>
        <w:rPr>
          <w:rFonts w:hint="eastAsia"/>
          <w:sz w:val="28"/>
          <w:szCs w:val="22"/>
          <w:highlight w:val="none"/>
          <w:lang w:val="en-US" w:eastAsia="zh-CN"/>
        </w:rPr>
        <w:t>508室</w:t>
      </w:r>
    </w:p>
    <w:p w14:paraId="54FBAA7B"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/>
          <w:sz w:val="28"/>
          <w:szCs w:val="22"/>
          <w:highlight w:val="none"/>
          <w:lang w:val="en-US" w:eastAsia="zh-CN"/>
        </w:rPr>
      </w:pPr>
      <w:r>
        <w:rPr>
          <w:rFonts w:hint="eastAsia"/>
          <w:sz w:val="28"/>
          <w:szCs w:val="22"/>
          <w:highlight w:val="none"/>
          <w:lang w:val="en-US" w:eastAsia="zh-CN"/>
        </w:rPr>
        <w:t>联系人及电话：《广东科技年鉴》编辑部，020-83163372</w:t>
      </w:r>
    </w:p>
    <w:p w14:paraId="14849C3F">
      <w:pPr>
        <w:pStyle w:val="2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其他说明</w:t>
      </w:r>
    </w:p>
    <w:p w14:paraId="32A22D92">
      <w:pPr>
        <w:numPr>
          <w:ilvl w:val="0"/>
          <w:numId w:val="0"/>
        </w:numPr>
        <w:ind w:leftChars="0" w:firstLine="560" w:firstLineChars="200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本项目不举行集中答疑。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46DD5E"/>
    <w:multiLevelType w:val="singleLevel"/>
    <w:tmpl w:val="1C46DD5E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ZDc1ZjYxMTkzOGU5MGM1OTVmZjk4MmVhYTRlNTIifQ=="/>
  </w:docVars>
  <w:rsids>
    <w:rsidRoot w:val="00551283"/>
    <w:rsid w:val="000C2B20"/>
    <w:rsid w:val="001B6129"/>
    <w:rsid w:val="001E4101"/>
    <w:rsid w:val="00335CF7"/>
    <w:rsid w:val="004F2343"/>
    <w:rsid w:val="00551283"/>
    <w:rsid w:val="00811C90"/>
    <w:rsid w:val="00820A34"/>
    <w:rsid w:val="008D525C"/>
    <w:rsid w:val="00BA722D"/>
    <w:rsid w:val="00C42143"/>
    <w:rsid w:val="00C50F00"/>
    <w:rsid w:val="00C82647"/>
    <w:rsid w:val="00D81B81"/>
    <w:rsid w:val="03B5756A"/>
    <w:rsid w:val="062F6308"/>
    <w:rsid w:val="0A707FAA"/>
    <w:rsid w:val="0B815649"/>
    <w:rsid w:val="0BB7550F"/>
    <w:rsid w:val="0BB84DE3"/>
    <w:rsid w:val="0BE77385"/>
    <w:rsid w:val="0FF95447"/>
    <w:rsid w:val="11164376"/>
    <w:rsid w:val="1132532B"/>
    <w:rsid w:val="124D2729"/>
    <w:rsid w:val="175F4C67"/>
    <w:rsid w:val="1D4D5DF4"/>
    <w:rsid w:val="1D8E04FA"/>
    <w:rsid w:val="1F130A19"/>
    <w:rsid w:val="233C3149"/>
    <w:rsid w:val="23B5359F"/>
    <w:rsid w:val="27B96511"/>
    <w:rsid w:val="27F87BA0"/>
    <w:rsid w:val="2B1E5321"/>
    <w:rsid w:val="2CA565C0"/>
    <w:rsid w:val="2F0223F1"/>
    <w:rsid w:val="2FEC286D"/>
    <w:rsid w:val="300327BF"/>
    <w:rsid w:val="310050DA"/>
    <w:rsid w:val="36A15434"/>
    <w:rsid w:val="38D976AD"/>
    <w:rsid w:val="397C3E64"/>
    <w:rsid w:val="3CE64768"/>
    <w:rsid w:val="43904D57"/>
    <w:rsid w:val="44AE08CF"/>
    <w:rsid w:val="45AB23B9"/>
    <w:rsid w:val="4D0D2C8E"/>
    <w:rsid w:val="4F714FA1"/>
    <w:rsid w:val="512322CB"/>
    <w:rsid w:val="522D2154"/>
    <w:rsid w:val="56397DD1"/>
    <w:rsid w:val="57A06424"/>
    <w:rsid w:val="598E6F5C"/>
    <w:rsid w:val="5BDA3098"/>
    <w:rsid w:val="5C7760D5"/>
    <w:rsid w:val="5CF76AE6"/>
    <w:rsid w:val="5D2378DB"/>
    <w:rsid w:val="64546A26"/>
    <w:rsid w:val="648E599B"/>
    <w:rsid w:val="660E156A"/>
    <w:rsid w:val="67535CC2"/>
    <w:rsid w:val="69106903"/>
    <w:rsid w:val="6FFB3228"/>
    <w:rsid w:val="700B34F1"/>
    <w:rsid w:val="73F93EF8"/>
    <w:rsid w:val="745D327B"/>
    <w:rsid w:val="75AF47FD"/>
    <w:rsid w:val="762F023C"/>
    <w:rsid w:val="77C5333F"/>
    <w:rsid w:val="782E5A08"/>
    <w:rsid w:val="7B406801"/>
    <w:rsid w:val="7B6970BE"/>
    <w:rsid w:val="7BE8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643" w:firstLineChars="200"/>
      <w:jc w:val="both"/>
    </w:pPr>
    <w:rPr>
      <w:rFonts w:ascii="仿宋" w:hAnsi="仿宋" w:eastAsia="仿宋" w:cs="仿宋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spacing w:before="0" w:beforeLines="0" w:beforeAutospacing="0" w:after="0" w:afterLines="0" w:afterAutospacing="0" w:line="360" w:lineRule="auto"/>
      <w:ind w:firstLine="643" w:firstLineChars="200"/>
      <w:outlineLvl w:val="0"/>
    </w:pPr>
    <w:rPr>
      <w:rFonts w:eastAsia="仿宋_GB2312" w:asciiTheme="minorAscii" w:hAnsiTheme="minorAscii"/>
      <w:b/>
      <w:kern w:val="44"/>
      <w:sz w:val="32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FollowedHyperlink"/>
    <w:basedOn w:val="9"/>
    <w:autoRedefine/>
    <w:semiHidden/>
    <w:unhideWhenUsed/>
    <w:qFormat/>
    <w:uiPriority w:val="99"/>
    <w:rPr>
      <w:color w:val="2490F8"/>
      <w:u w:val="single"/>
    </w:rPr>
  </w:style>
  <w:style w:type="character" w:styleId="12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5">
    <w:name w:val="cdropright"/>
    <w:basedOn w:val="9"/>
    <w:autoRedefine/>
    <w:qFormat/>
    <w:uiPriority w:val="0"/>
  </w:style>
  <w:style w:type="character" w:customStyle="1" w:styleId="16">
    <w:name w:val="after"/>
    <w:basedOn w:val="9"/>
    <w:autoRedefine/>
    <w:qFormat/>
    <w:uiPriority w:val="0"/>
    <w:rPr>
      <w:sz w:val="0"/>
      <w:szCs w:val="0"/>
    </w:rPr>
  </w:style>
  <w:style w:type="character" w:customStyle="1" w:styleId="17">
    <w:name w:val="iconline2"/>
    <w:basedOn w:val="9"/>
    <w:autoRedefine/>
    <w:qFormat/>
    <w:uiPriority w:val="0"/>
  </w:style>
  <w:style w:type="character" w:customStyle="1" w:styleId="18">
    <w:name w:val="iconline21"/>
    <w:basedOn w:val="9"/>
    <w:autoRedefine/>
    <w:qFormat/>
    <w:uiPriority w:val="0"/>
  </w:style>
  <w:style w:type="character" w:customStyle="1" w:styleId="19">
    <w:name w:val="pagechatarealistclose_box"/>
    <w:basedOn w:val="9"/>
    <w:autoRedefine/>
    <w:qFormat/>
    <w:uiPriority w:val="0"/>
  </w:style>
  <w:style w:type="character" w:customStyle="1" w:styleId="20">
    <w:name w:val="pagechatarealistclose_box1"/>
    <w:basedOn w:val="9"/>
    <w:autoRedefine/>
    <w:qFormat/>
    <w:uiPriority w:val="0"/>
  </w:style>
  <w:style w:type="character" w:customStyle="1" w:styleId="21">
    <w:name w:val="active"/>
    <w:basedOn w:val="9"/>
    <w:autoRedefine/>
    <w:qFormat/>
    <w:uiPriority w:val="0"/>
    <w:rPr>
      <w:color w:val="00FF00"/>
      <w:shd w:val="clear" w:fill="111111"/>
    </w:rPr>
  </w:style>
  <w:style w:type="character" w:customStyle="1" w:styleId="22">
    <w:name w:val="cy"/>
    <w:basedOn w:val="9"/>
    <w:autoRedefine/>
    <w:qFormat/>
    <w:uiPriority w:val="0"/>
  </w:style>
  <w:style w:type="character" w:customStyle="1" w:styleId="23">
    <w:name w:val="icontext2"/>
    <w:basedOn w:val="9"/>
    <w:autoRedefine/>
    <w:qFormat/>
    <w:uiPriority w:val="0"/>
  </w:style>
  <w:style w:type="character" w:customStyle="1" w:styleId="24">
    <w:name w:val="ico1654"/>
    <w:basedOn w:val="9"/>
    <w:autoRedefine/>
    <w:qFormat/>
    <w:uiPriority w:val="0"/>
  </w:style>
  <w:style w:type="character" w:customStyle="1" w:styleId="25">
    <w:name w:val="ico1655"/>
    <w:basedOn w:val="9"/>
    <w:autoRedefine/>
    <w:qFormat/>
    <w:uiPriority w:val="0"/>
  </w:style>
  <w:style w:type="character" w:customStyle="1" w:styleId="26">
    <w:name w:val="tmpztreemove_arrow"/>
    <w:basedOn w:val="9"/>
    <w:autoRedefine/>
    <w:qFormat/>
    <w:uiPriority w:val="0"/>
  </w:style>
  <w:style w:type="character" w:customStyle="1" w:styleId="27">
    <w:name w:val="hilite"/>
    <w:basedOn w:val="9"/>
    <w:autoRedefine/>
    <w:qFormat/>
    <w:uiPriority w:val="0"/>
    <w:rPr>
      <w:color w:val="FFFFFF"/>
      <w:shd w:val="clear" w:fill="666666"/>
    </w:rPr>
  </w:style>
  <w:style w:type="character" w:customStyle="1" w:styleId="28">
    <w:name w:val="button4"/>
    <w:basedOn w:val="9"/>
    <w:autoRedefine/>
    <w:qFormat/>
    <w:uiPriority w:val="0"/>
  </w:style>
  <w:style w:type="character" w:customStyle="1" w:styleId="29">
    <w:name w:val="drapbtn"/>
    <w:basedOn w:val="9"/>
    <w:autoRedefine/>
    <w:qFormat/>
    <w:uiPriority w:val="0"/>
  </w:style>
  <w:style w:type="character" w:customStyle="1" w:styleId="30">
    <w:name w:val="layui-layer-tabnow"/>
    <w:basedOn w:val="9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31">
    <w:name w:val="first-child"/>
    <w:basedOn w:val="9"/>
    <w:autoRedefine/>
    <w:qFormat/>
    <w:uiPriority w:val="0"/>
  </w:style>
  <w:style w:type="character" w:customStyle="1" w:styleId="32">
    <w:name w:val="icontext1"/>
    <w:basedOn w:val="9"/>
    <w:autoRedefine/>
    <w:qFormat/>
    <w:uiPriority w:val="0"/>
  </w:style>
  <w:style w:type="character" w:customStyle="1" w:styleId="33">
    <w:name w:val="icontext11"/>
    <w:basedOn w:val="9"/>
    <w:autoRedefine/>
    <w:qFormat/>
    <w:uiPriority w:val="0"/>
  </w:style>
  <w:style w:type="character" w:customStyle="1" w:styleId="34">
    <w:name w:val="icontext12"/>
    <w:basedOn w:val="9"/>
    <w:autoRedefine/>
    <w:qFormat/>
    <w:uiPriority w:val="0"/>
  </w:style>
  <w:style w:type="character" w:customStyle="1" w:styleId="35">
    <w:name w:val="icontext3"/>
    <w:basedOn w:val="9"/>
    <w:autoRedefine/>
    <w:qFormat/>
    <w:uiPriority w:val="0"/>
  </w:style>
  <w:style w:type="character" w:customStyle="1" w:styleId="36">
    <w:name w:val="associateddata"/>
    <w:basedOn w:val="9"/>
    <w:autoRedefine/>
    <w:qFormat/>
    <w:uiPriority w:val="0"/>
    <w:rPr>
      <w:shd w:val="clear" w:fill="50A6F9"/>
    </w:rPr>
  </w:style>
  <w:style w:type="character" w:customStyle="1" w:styleId="37">
    <w:name w:val="cdropleft"/>
    <w:basedOn w:val="9"/>
    <w:autoRedefine/>
    <w:qFormat/>
    <w:uiPriority w:val="0"/>
  </w:style>
  <w:style w:type="character" w:customStyle="1" w:styleId="38">
    <w:name w:val="w3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1320</Words>
  <Characters>1459</Characters>
  <Lines>4</Lines>
  <Paragraphs>1</Paragraphs>
  <TotalTime>23</TotalTime>
  <ScaleCrop>false</ScaleCrop>
  <LinksUpToDate>false</LinksUpToDate>
  <CharactersWithSpaces>1462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2021-12-31T07:52:00Z</dcterms:created>
  <dc:creator>王晓君</dc:creator>
  <cp:lastModifiedBy>酒香</cp:lastModifiedBy>
  <dcterms:modified xsi:type="dcterms:W3CDTF">2025-05-23T14:41:09Z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D79951DAFD7D4A7CA9EB1DE5CF5D3A99_13</vt:lpwstr>
  </property>
  <property fmtid="{D5CDD505-2E9C-101B-9397-08002B2CF9AE}" pid="4" name="KSOTemplateDocerSaveRecord">
    <vt:lpwstr>eyJoZGlkIjoiYmFlNTRlNTNmYmUwODhmZGNhYzQ4M2E0ZDNjZWI1ZmQiLCJ1c2VySWQiOiI3NDIwNzY4NDIifQ==</vt:lpwstr>
  </property>
</Properties>
</file>